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51510" cy="107505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КЕМЕРОВСКАЯ ОБЛАСТЬ - КУЗБАСС</w:t>
      </w:r>
    </w:p>
    <w:p>
      <w:pPr>
        <w:pStyle w:val="Normal"/>
        <w:spacing w:before="0" w:after="0"/>
        <w:jc w:val="center"/>
        <w:rPr>
          <w:rFonts w:ascii="Times New Roman" w:hAnsi="Times New Roman"/>
          <w:cap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НОВОКУЗНЕЦКИЙ ГОРОДСКОЙ ОКРУГ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spacing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14.11.2025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254</w:t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ListParagraph"/>
        <w:spacing w:lineRule="auto" w:line="240" w:before="0" w:after="0"/>
        <w:ind w:left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 утверждении муниципальной</w:t>
        <w:br/>
        <w:t xml:space="preserve">программы </w:t>
      </w:r>
      <w:r>
        <w:rPr>
          <w:rFonts w:ascii="Times New Roman" w:hAnsi="Times New Roman"/>
          <w:sz w:val="28"/>
          <w:szCs w:val="28"/>
        </w:rPr>
        <w:t>Новокузнецкого городского</w:t>
        <w:br/>
        <w:t>округа «Развитие субъектов малого</w:t>
        <w:br/>
        <w:t>и среднего предпринимательства</w:t>
        <w:br/>
        <w:t>в Новокузнецком городском округе»</w:t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hyperlink r:id="rId3">
        <w:r>
          <w:rPr>
            <w:rStyle w:val="Style4"/>
            <w:rFonts w:eastAsia="Calibri" w:ascii="Times New Roman" w:hAnsi="Times New Roman" w:eastAsiaTheme="minorHAnsi"/>
            <w:sz w:val="28"/>
            <w:szCs w:val="28"/>
          </w:rPr>
          <w:t>постановлением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 w:eastAsiaTheme="minorHAnsi"/>
          <w:sz w:val="28"/>
          <w:szCs w:val="28"/>
        </w:rPr>
        <w:t xml:space="preserve">администрации города Новокузнецка от 04.12.2019 №199 «Об утверждении Порядка разработки, реализации и оценки эффективности муниципальных программ Новокузнецкого городского округа», руководствуясь </w:t>
      </w:r>
      <w:hyperlink r:id="rId4">
        <w:r>
          <w:rPr>
            <w:rStyle w:val="Style4"/>
            <w:rFonts w:eastAsia="Calibri" w:ascii="Times New Roman" w:hAnsi="Times New Roman" w:eastAsiaTheme="minorHAnsi"/>
            <w:sz w:val="28"/>
            <w:szCs w:val="28"/>
          </w:rPr>
          <w:t>статьей 40</w:t>
        </w:r>
      </w:hyperlink>
      <w:r>
        <w:rPr>
          <w:rFonts w:eastAsia="Calibri" w:ascii="Times New Roman" w:hAnsi="Times New Roman" w:eastAsiaTheme="minorHAnsi"/>
          <w:sz w:val="28"/>
          <w:szCs w:val="28"/>
        </w:rPr>
        <w:t xml:space="preserve"> Устава Новокузнецкого городского округа: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 xml:space="preserve">1. Утвердить муниципальную программу Новокузнецкого городского округа </w:t>
      </w:r>
      <w:r>
        <w:rPr>
          <w:rFonts w:ascii="Times New Roman" w:hAnsi="Times New Roman"/>
          <w:sz w:val="28"/>
          <w:szCs w:val="28"/>
        </w:rPr>
        <w:t>«Развитие субъектов малого и среднего предпринимательства в Новокузнецком городском округе»</w:t>
      </w:r>
      <w:r>
        <w:rPr>
          <w:rFonts w:eastAsia="Calibri" w:ascii="Times New Roman" w:hAnsi="Times New Roman" w:eastAsiaTheme="minorHAnsi"/>
          <w:sz w:val="28"/>
          <w:szCs w:val="28"/>
        </w:rPr>
        <w:t xml:space="preserve"> согласно приложению к настоящему постановлению.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2. Признать утратившими силу: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1) постановление администрации города Новокузнецка от 22.12.2014 №203 «Об утверждении муниципальной программы «Развитие субъектов малого и среднего предпринимательства в городе Новокузнецке»;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2) постановление администрации города Новокузнецка от 13.05.2019 №83 «О внесении изменения в постановление администрации города Новокузнецка от 22.12.2014 №203»;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3) постановление администрации города Новокузнецка от 03.04.2025 №96 «О внесении изменения в постановление администрации города Новокузнецка от 22.12.2014 №203».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3.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4. Настоящее постановление вступает в силу с 1 января 2026 года.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5. Контроль исполнения настоящего постановления возложить на заместителя Главы города по экономическим вопросам.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4"/>
          <w:szCs w:val="24"/>
        </w:rPr>
      </w:pPr>
      <w:r>
        <w:rPr>
          <w:rFonts w:eastAsia="Calibri" w:eastAsiaTheme="minorHAnsi" w:ascii="Times New Roman" w:hAnsi="Times New Roman"/>
          <w:sz w:val="24"/>
          <w:szCs w:val="24"/>
        </w:rPr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4"/>
          <w:szCs w:val="24"/>
        </w:rPr>
      </w:pPr>
      <w:r>
        <w:rPr>
          <w:rFonts w:eastAsia="Calibri" w:eastAsiaTheme="minorHAnsi" w:ascii="Times New Roman" w:hAnsi="Times New Roman"/>
          <w:sz w:val="24"/>
          <w:szCs w:val="24"/>
        </w:rPr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4"/>
          <w:szCs w:val="24"/>
        </w:rPr>
      </w:pPr>
      <w:r>
        <w:rPr>
          <w:rFonts w:eastAsia="Calibri" w:eastAsiaTheme="minorHAnsi" w:ascii="Times New Roman" w:hAnsi="Times New Roman"/>
          <w:sz w:val="24"/>
          <w:szCs w:val="24"/>
        </w:rPr>
      </w:r>
    </w:p>
    <w:tbl>
      <w:tblPr>
        <w:tblStyle w:val="af1"/>
        <w:tblW w:w="96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0"/>
        <w:gridCol w:w="4826"/>
      </w:tblGrid>
      <w:tr>
        <w:trPr/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9"/>
                <w:tab w:val="left" w:pos="851" w:leader="none"/>
              </w:tabs>
              <w:spacing w:before="0" w:after="0"/>
              <w:ind w:hanging="0"/>
              <w:jc w:val="both"/>
              <w:rPr>
                <w:rFonts w:ascii="Times New Roman" w:hAnsi="Times New Roman" w:eastAsia="Calibri" w:eastAsiaTheme="minorHAnsi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kern w:val="0"/>
                <w:sz w:val="28"/>
                <w:szCs w:val="28"/>
                <w:lang w:val="ru-RU" w:bidi="ar-SA"/>
              </w:rPr>
              <w:t>Глава города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clear" w:pos="709"/>
                <w:tab w:val="left" w:pos="851" w:leader="none"/>
              </w:tabs>
              <w:spacing w:lineRule="auto" w:line="240" w:before="0" w:after="0"/>
              <w:ind w:firstLine="720" w:left="0"/>
              <w:contextualSpacing/>
              <w:jc w:val="right"/>
              <w:rPr>
                <w:rFonts w:ascii="Times New Roman" w:hAnsi="Times New Roman" w:eastAsia="Calibri" w:eastAsiaTheme="minorHAnsi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kern w:val="0"/>
                <w:sz w:val="28"/>
                <w:szCs w:val="28"/>
                <w:lang w:val="ru-RU" w:bidi="ar-SA"/>
              </w:rPr>
              <w:t>Д.П. Ильин</w:t>
            </w:r>
          </w:p>
        </w:tc>
      </w:tr>
    </w:tbl>
    <w:p>
      <w:pPr>
        <w:pStyle w:val="Normal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 w:ascii="Times New Roman" w:hAnsi="Times New Roman"/>
          <w:sz w:val="28"/>
          <w:szCs w:val="28"/>
          <w:lang w:eastAsia="en-US"/>
        </w:rPr>
      </w:r>
      <w:r>
        <w:br w:type="page"/>
      </w:r>
    </w:p>
    <w:p>
      <w:pPr>
        <w:pStyle w:val="ConsPlusNormal1"/>
        <w:numPr>
          <w:ilvl w:val="0"/>
          <w:numId w:val="0"/>
        </w:numPr>
        <w:spacing w:before="0"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Новокузнецка</w:t>
      </w:r>
    </w:p>
    <w:p>
      <w:pPr>
        <w:pStyle w:val="ConsPlusNormal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 xml:space="preserve">т </w:t>
      </w:r>
      <w:r>
        <w:rPr>
          <w:rFonts w:cs="Times New Roman" w:ascii="Times New Roman" w:hAnsi="Times New Roman"/>
          <w:sz w:val="28"/>
          <w:szCs w:val="28"/>
        </w:rPr>
        <w:t>14.11.2025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254</w:t>
      </w:r>
    </w:p>
    <w:p>
      <w:pPr>
        <w:pStyle w:val="ConsPlusTitle"/>
        <w:spacing w:before="360" w:after="240"/>
        <w:jc w:val="center"/>
        <w:rPr>
          <w:rFonts w:ascii="Times New Roman" w:hAnsi="Times New Roman"/>
          <w:b w:val="false"/>
          <w:sz w:val="28"/>
          <w:szCs w:val="28"/>
        </w:rPr>
      </w:pPr>
      <w:bookmarkStart w:id="0" w:name="_Hlk211280665"/>
      <w:bookmarkStart w:id="1" w:name="P34"/>
      <w:bookmarkEnd w:id="1"/>
      <w:r>
        <w:rPr>
          <w:rFonts w:cs="Times New Roman" w:ascii="Times New Roman" w:hAnsi="Times New Roman"/>
          <w:b w:val="false"/>
          <w:sz w:val="28"/>
          <w:szCs w:val="28"/>
        </w:rPr>
        <w:t>Муниципальная программа Новокузнецкого городского округа</w:t>
      </w:r>
      <w:bookmarkEnd w:id="0"/>
      <w:r>
        <w:rPr>
          <w:rFonts w:cs="Times New Roman" w:ascii="Times New Roman" w:hAnsi="Times New Roman"/>
          <w:b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sz w:val="28"/>
          <w:szCs w:val="28"/>
        </w:rPr>
        <w:t>«Развитие субъектов малого и среднего предпринимательства</w:t>
        <w:br/>
        <w:t>в Новокузнецком городском округе»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Стратегические приоритеты муниципальной программы</w:t>
        <w:br/>
        <w:t>Новокузнецкого городского округа «Развитие субъектов малого</w:t>
        <w:br/>
        <w:t>и среднего предпринимательства в Новокузнецком городском округе»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bookmarkStart w:id="2" w:name="_Hlk211279886"/>
      <w:r>
        <w:rPr>
          <w:rFonts w:ascii="Times New Roman" w:hAnsi="Times New Roman"/>
          <w:sz w:val="28"/>
          <w:szCs w:val="28"/>
        </w:rPr>
        <w:t>1. Оценка текущего состояния сферы</w:t>
        <w:br/>
        <w:t>социально-экономического развития Новокузнецкого городского округа</w:t>
      </w:r>
      <w:bookmarkEnd w:id="2"/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Экономическое развитие оказывает прямое влияние на экономический рост, внедрение инновационных технологий, повышение качества и уровня жизни населения, повышение производительности труда и на достижение других стратегических целей социально-экономического развития Новокузнецкого городского округа.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малого и среднего бизнеса является неотъемлемым элементом рыночной системы Новокузнецкого городского округа, обеспечивающим высокий уровень и качество жизни населения.</w:t>
      </w:r>
      <w:bookmarkStart w:id="3" w:name="_GoBack"/>
      <w:bookmarkEnd w:id="3"/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предпринимательство является одной из самых эффективных форм организации производственной и непроизводственной деятельности, оказывает существенное влияние на экономическое развитие города Новокузнецка по разным направлениям, в том числе: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предпринимательства повышает инвестиционную привлекательность территории Новокузнецкого городского округа, а привлечение инвесторов в развитие экономики Новокузнецкого городского округа является одной из основных задач органов местного самоуправления Новокузнецкого городского округа.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Весомая роль в процессе развития экономики Новокузнецкого городского округа принадлежит малому и среднему бизнесу. Наличие субъектов малого и среднего предпринимательства непосредственно оказывает влияние на уровень занятости, объемы производства продукции, налоговые поступления в бюджет Новокузнецкого городского округа, тем самым определяя темпы экономического роста Новокузнецкого городского округа в целом. Ежегодно наблюдается не просто сохранение уже достигнутых показателей развития малого и среднего предпринимательства в экономике Новокузнецкого городского округа, но и их прирост.</w:t>
      </w:r>
    </w:p>
    <w:p>
      <w:pPr>
        <w:pStyle w:val="Normal"/>
        <w:spacing w:before="0" w:after="0"/>
        <w:ind w:firstLine="709"/>
        <w:rPr>
          <w:rFonts w:ascii="Calibri" w:hAnsi="Calibri" w:asciiTheme="minorHAnsi" w:hAnsiTheme="minorHAnsi"/>
          <w:sz w:val="28"/>
          <w:szCs w:val="28"/>
        </w:rPr>
      </w:pPr>
      <w:r>
        <w:rPr>
          <w:sz w:val="28"/>
          <w:szCs w:val="28"/>
        </w:rPr>
        <w:t xml:space="preserve">В Кемеровской области-Кузбассе определены нормативные правовые и организационные основы </w:t>
      </w:r>
      <w:bookmarkStart w:id="4" w:name="_Hlk211279483"/>
      <w:r>
        <w:rPr>
          <w:sz w:val="28"/>
          <w:szCs w:val="28"/>
        </w:rPr>
        <w:t xml:space="preserve">государственной и муниципальной поддержки </w:t>
      </w:r>
      <w:bookmarkEnd w:id="4"/>
      <w:r>
        <w:rPr>
          <w:sz w:val="28"/>
          <w:szCs w:val="28"/>
        </w:rPr>
        <w:t>малого и среднего предпринимательства. Реализуется ряд программ финансовой поддержки, в рамках которых предприниматели имеют возможность получать субсидию для возмещения затрат на ведение бизнеса,</w:t>
      </w:r>
      <w:r>
        <w:rPr>
          <w:rFonts w:ascii="Calibri" w:hAnsi="Calibri" w:asciiTheme="minorHAnsi" w:hAnsiTheme="minorHAnsi"/>
          <w:sz w:val="28"/>
          <w:szCs w:val="28"/>
        </w:rPr>
        <w:t xml:space="preserve"> </w:t>
      </w:r>
      <w:r>
        <w:rPr>
          <w:sz w:val="28"/>
          <w:szCs w:val="28"/>
        </w:rPr>
        <w:t>гарантию по кредиту или кредит на льготных условиях.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мероприятия </w:t>
      </w:r>
      <w:r>
        <w:rPr>
          <w:sz w:val="28"/>
          <w:szCs w:val="28"/>
        </w:rPr>
        <w:t>государственной и муниципальной поддержки</w:t>
      </w:r>
      <w:r>
        <w:rPr>
          <w:rFonts w:ascii="Times New Roman" w:hAnsi="Times New Roman"/>
          <w:sz w:val="28"/>
          <w:szCs w:val="28"/>
        </w:rPr>
        <w:t xml:space="preserve"> осуществляются в отношении: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субъектов, соответствующих критериям, установленным статьей 4 Федерального закона от 24.07.2007 №209-ФЗ «О развитии малого и среднего предпринимательства в Российской Федерации» (далее – Субъекты);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организаций, соответствующих критериям, установленным </w:t>
      </w:r>
      <w:hyperlink r:id="rId5">
        <w:r>
          <w:rPr>
            <w:rStyle w:val="Style4"/>
            <w:rFonts w:ascii="Times New Roman" w:hAnsi="Times New Roman"/>
            <w:sz w:val="28"/>
            <w:szCs w:val="28"/>
          </w:rPr>
          <w:t>статьей 15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24.07.2007 №209-ФЗ «О развитии малого и среднего предпринимательства в Российской Федерации» (далее – Организации);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физических лиц, не являющихся индивидуальными предпринимателями и применяющих специальный налоговый </w:t>
      </w:r>
      <w:hyperlink r:id="rId6">
        <w:r>
          <w:rPr>
            <w:rStyle w:val="Style4"/>
            <w:rFonts w:eastAsia="Calibri" w:ascii="Times New Roman" w:hAnsi="Times New Roman" w:eastAsiaTheme="minorHAnsi"/>
            <w:sz w:val="28"/>
            <w:szCs w:val="28"/>
            <w:lang w:eastAsia="en-US"/>
          </w:rPr>
          <w:t>режим</w:t>
        </w:r>
      </w:hyperlink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 «Налог на профессиональный доход» в соответствии </w:t>
      </w:r>
      <w:r>
        <w:rPr>
          <w:rFonts w:ascii="Times New Roman" w:hAnsi="Times New Roman"/>
          <w:sz w:val="28"/>
          <w:szCs w:val="28"/>
        </w:rPr>
        <w:t xml:space="preserve">со статьей 14.1 Федерального закона от 24.07.2007 №209-ФЗ «О развитии малого и среднего предпринимательства в Российской Федерации» 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(далее – Самозанятые)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ConsPlusNormal1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Сложившаяся отраслевая структура малого и среднего предпринимательства за последние годы практически не изменилась. Появилась новая категория предпринимателей – 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физические лица, не являющиеся индивидуальными предпринимателями, применяющие специальный налоговый </w:t>
      </w:r>
      <w:hyperlink r:id="rId7">
        <w:r>
          <w:rPr>
            <w:rStyle w:val="Style4"/>
            <w:rFonts w:eastAsia="Calibri" w:ascii="Times New Roman" w:hAnsi="Times New Roman" w:eastAsiaTheme="minorHAnsi"/>
            <w:sz w:val="28"/>
            <w:szCs w:val="28"/>
            <w:lang w:eastAsia="en-US"/>
          </w:rPr>
          <w:t>режим</w:t>
        </w:r>
      </w:hyperlink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 «Налог на профессиональный доход».</w:t>
      </w:r>
    </w:p>
    <w:p>
      <w:pPr>
        <w:pStyle w:val="ListParagraph"/>
        <w:spacing w:lineRule="auto" w:line="240" w:before="0" w:after="0"/>
        <w:ind w:firstLine="709" w:left="0"/>
        <w:contextualSpacing w:val="false"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текущего состояния сферы социально-экономического развития Новокузнецкого городского округа:</w:t>
      </w:r>
    </w:p>
    <w:p>
      <w:pPr>
        <w:pStyle w:val="ConsPlusNormal1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количество малых и средних предприятий, включая микропредприятия, на конец 2024 года – 6 452 ед., оценочный показатель на 2025 год – 6 460 ед.;</w:t>
      </w:r>
    </w:p>
    <w:p>
      <w:pPr>
        <w:pStyle w:val="ConsPlusNormal1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количество индивидуальных предпринимателей на конец 2024 года – 11 130 ед., оценочный показатель на 2025 год – 11 130 ед.;</w:t>
      </w:r>
    </w:p>
    <w:p>
      <w:pPr>
        <w:pStyle w:val="ConsPlusNormal1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количество Самозанятых по данным инспекции Федеральной налоговой службы города Новокузнецка – 49 058 человек, всего занятых в бизнесе (Субъекты + Самозанятые) – 66 210 человек.</w:t>
      </w:r>
    </w:p>
    <w:p>
      <w:pPr>
        <w:pStyle w:val="ConsPlusNormal1"/>
        <w:ind w:firstLine="709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По</w:t>
      </w:r>
      <w:r>
        <w:rPr>
          <w:rFonts w:ascii="Times New Roman" w:hAnsi="Times New Roman"/>
          <w:sz w:val="28"/>
          <w:szCs w:val="28"/>
        </w:rPr>
        <w:t xml:space="preserve"> информации Единого реестра субъектов малого и среднего предпринимательства, размещенного на официальном сайте Федеральной налоговой службы, сфера торговли (35,5 %) остается более привлекательной для малых и средних предприятий, чем промышленность. Привлекательность данной сферы объясняется, прежде всего, относительно быстрой окупаемостью вложенных средств, стабильным потребительским спросом.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сегодняшний день организации и индивидуальные предприниматели, получившие помощь со стороны городских властей и инфраструктуры поддержки предпринимательства, работают успешно, продолжая создавать новые рабочие места либо сохранять существующие, оплачивать налоги, что является существенным аспектом для развития экономики города Новокузнецка.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эффективного проведения государственной политики в сфере развития малого и среднего бизнеса и создания благоприятного предпринимательского климата необходима поддержка малого и среднего предпринимательства со стороны органов местного самоуправления.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органов местного самоуправления Новокузнецкого городского округа – оказать максимально возможное содействие и поддержку в развитии малого и среднего бизнеса на территории Новокузнецкого городского округа.</w:t>
      </w:r>
    </w:p>
    <w:p>
      <w:pPr>
        <w:pStyle w:val="ConsPlusTitle"/>
        <w:ind w:firstLine="709"/>
        <w:rPr>
          <w:rFonts w:ascii="Times New Roman" w:hAnsi="Times New Roman"/>
          <w:b w:val="false"/>
          <w:bCs/>
          <w:sz w:val="28"/>
          <w:szCs w:val="28"/>
        </w:rPr>
      </w:pPr>
      <w:r>
        <w:rPr>
          <w:rFonts w:ascii="Times New Roman" w:hAnsi="Times New Roman"/>
          <w:b w:val="false"/>
          <w:bCs/>
          <w:sz w:val="28"/>
          <w:szCs w:val="28"/>
        </w:rPr>
        <w:t>Одним из инструментов поддержки Субъектов и Организаций, является м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>униципальная программа Новокузнецкого городского округа «</w:t>
      </w:r>
      <w:r>
        <w:rPr>
          <w:rFonts w:ascii="Times New Roman" w:hAnsi="Times New Roman"/>
          <w:b w:val="false"/>
          <w:sz w:val="28"/>
          <w:szCs w:val="28"/>
        </w:rPr>
        <w:t>Развитие субъектов малого и среднего предпринимательства в Новокузнецком городском округе»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 xml:space="preserve"> (далее –</w:t>
      </w:r>
      <w:r>
        <w:rPr>
          <w:rFonts w:ascii="Times New Roman" w:hAnsi="Times New Roman"/>
          <w:b w:val="false"/>
          <w:bCs/>
          <w:sz w:val="28"/>
          <w:szCs w:val="28"/>
        </w:rPr>
        <w:t xml:space="preserve"> муниципальная программа).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 разработана на основе анализа существующего состояния малого и среднего предпринимательства города Новокузнецка с учетом тенденций и опыта оказания государственной поддержки субъектам малого и среднего бизнеса в Кемеровской области-Кузбассе и Российской Федерации.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программа представляет собой комплекс процессных мероприятий по созданию благоприятной среды для субъектов малого и среднего предпринимательства, организаций, образующих инфраструктуру поддержки субъектов малого и среднего предпринимательства. В то же время </w:t>
      </w:r>
      <w:r>
        <w:rPr>
          <w:rFonts w:ascii="Times New Roman" w:hAnsi="Times New Roman"/>
          <w:bCs/>
          <w:sz w:val="28"/>
          <w:szCs w:val="28"/>
        </w:rPr>
        <w:t>муниципальная программа</w:t>
      </w:r>
      <w:r>
        <w:rPr>
          <w:rFonts w:ascii="Times New Roman" w:hAnsi="Times New Roman"/>
          <w:sz w:val="28"/>
          <w:szCs w:val="28"/>
        </w:rPr>
        <w:t xml:space="preserve"> исходит из необходимости совершенствования механизмов реализации государственной политики в области поддержки малого и среднего предпринимательства и ее более тесной координации с общими задачами экономической политики на муниципальном уровне.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Разработчиком (ответственным исполнителем) муниципальной программы является управление потребительского рынка и развития предпринимательства администрации города Новокузнецка (далее – Управление). 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Исполнителями муниципальной программы являются Комитет по управлению муниципальным имуществом города Новокузнецка (далее – КУМИ), муниципальное автономное учреждение «Центр поддержки предпринимательства» (далее – Центр поддержки предпринимательства).</w:t>
      </w:r>
    </w:p>
    <w:p>
      <w:pPr>
        <w:pStyle w:val="ConsPlusNormal1"/>
        <w:ind w:firstLine="709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Сектор малого и среднего предпринимательства является неотъемлемым элементом любой развитой хозяйственной системы, без которого не может эффективно развиваться экономика. Участвуя практически во всех видах экономической деятельности, субъекты малого и среднего предпринимательства, организации, образующие инфраструктуру поддержки субъектов малого и среднего предпринимательства, способствуют насыщению товарного рынка конкурентоспособной продукцией, работами и услугами, повышению занятости населения путем сохранения и создания дополнительных рабочих мест, внедрению новых форм организации производства, сбыту, приближению товаров, работ и услуг к потребителю.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местного самоуправления Новокузнецкого городского округа создают условия для развития малого и среднего бизнеса на территории Новокузнецкого городского округа. На территории Новокузнецкого городского округа сформирована и успешно работает инфраструктура поддержки малого и среднего предпринимательства.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распоряжения администрации города Новокузнецка от 19.02.2020 №202 «О создании муниципального автономного учреждения «Центр поддержки предпринимательства» в целях реализации национального проекта «Малое и среднее предпринимательство и поддержка индивидуальной предпринимательской инициативы» создан Центр поддержки предпринимательства.</w:t>
      </w:r>
    </w:p>
    <w:p>
      <w:pPr>
        <w:pStyle w:val="Normal"/>
        <w:spacing w:before="0" w:after="0"/>
        <w:ind w:firstLine="709"/>
        <w:rPr>
          <w:rFonts w:ascii="Calibri" w:hAnsi="Calibri" w:asciiTheme="minorHAnsi" w:hAnsiTheme="minorHAns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поддержки предпринимательства оказывает услуги предпринимателям и физическим лицам, планирующим начать бизнес по системе «одного окна», помогает получить навыки ведения бизнеса, зарегистрировать свой бизнес, узнать о мерах государственной поддержки и о том, как ими воспользоваться.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С каждым годом перечень услуг, предлагаемых Центром поддержки предпринимательства, увеличивается, причем услуги для начинающих предпринимателей оказываются на безвозмездной основе. Сегодня</w:t>
      </w:r>
      <w:r>
        <w:rPr>
          <w:sz w:val="28"/>
          <w:szCs w:val="28"/>
        </w:rPr>
        <w:t xml:space="preserve"> оказывается свыше 80 услуг для бизнеса – это юридические консультации, регистрация и перерегистрация бизнеса, оформление уставных документов, консультация экспертов в сфере закупок, трудовых отношений, консультации по вопросам налогообложения, разработка бизнес-планов и прочее.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реализация муниципальной программы направлена на проведение последовательной политики в области развития малого и среднего предпринимательства на территории Новокузнецкого городского округа, в частности: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стимулирования и поддержки начинающих Субъектов, Организаций, Самозанятых;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повышения эффективности деятельности Субъектов, Организаций, Самозанятых;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обеспечения доступности информации и повышения эффективности имущественной поддержки Субъектов, Организаций, Самозанятых, а также финансовой поддержки Субъектов, Организаций.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как итог создание новых рабочих мест и пополнение бюджета Новокузнецкого городского округа за счет налоговых поступлений.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проблемами для развития малого и среднего бизнеса на территории Новокузнецкого городского округа являются: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сложность доступа субъектов малого и среднего предпринимательства, организаций, образующих инфраструктуру поддержки субъектов малого и среднего предпринимательства, к финансовым ресурсам, предлагаемым кредитными организациями;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недостаточный уровень профессиональных знаний и навыков у начинающих предпринимателей;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слабая информированность предпринимательского сообщества о мероприятиях, направленных на поддержку и развитие предпринимательства;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недостаточное количество субъектов малого и среднего предпринимательства, осуществляющих приоритетные виды деятельности;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трудности в нахождении рынков сбыта продукции;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недостаток высококвалифицированных кадров;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недостаточная автоматизация технологических процессов;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 недостаточно сформированный положительный образ предпринимательства среди населения, стимулирующий вовлечение различных категорий граждан, включая 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физических лиц, не являющихся индивидуальными предпринимателями и применяющих специальный налоговый </w:t>
      </w:r>
      <w:hyperlink r:id="rId8">
        <w:r>
          <w:rPr>
            <w:rStyle w:val="Style4"/>
            <w:rFonts w:eastAsia="Calibri" w:ascii="Times New Roman" w:hAnsi="Times New Roman" w:eastAsiaTheme="minorHAnsi"/>
            <w:sz w:val="28"/>
            <w:szCs w:val="28"/>
            <w:lang w:eastAsia="en-US"/>
          </w:rPr>
          <w:t>режим</w:t>
        </w:r>
      </w:hyperlink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 «Налог на профессиональный доход»</w:t>
      </w:r>
      <w:r>
        <w:rPr>
          <w:rFonts w:ascii="Times New Roman" w:hAnsi="Times New Roman"/>
          <w:sz w:val="28"/>
          <w:szCs w:val="28"/>
        </w:rPr>
        <w:t>, в сектор малого и среднего предпринимательства, в том числе создание новых субъектов малого и среднего предпринимательства.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развитию субъектов малого и среднего предпринимательства препятствуют проблемы имущественного характера. В настоящее время немногие из них имеют собственные помещения и оборудование, большую часть затрат составляет арендная плата.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 нацелена на решение вышеуказанных проблем. Программный подход позволит проводить планомерную работу по созданию более благоприятного предпринимательского климата в городе Новокузнецке, объединению с этой целью усилий органов местного самоуправления Новокузнецкого городского округа,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/>
        <w:t> </w:t>
      </w:r>
      <w:r>
        <w:rPr>
          <w:rFonts w:ascii="Times New Roman" w:hAnsi="Times New Roman"/>
          <w:sz w:val="28"/>
          <w:szCs w:val="28"/>
        </w:rPr>
        <w:t>Описание приоритетов и целей муниципальной политики</w:t>
        <w:br/>
        <w:t>в сфере реализации муниципальной программы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целеполагания и задачи реализации муниципальной программы сформированы в соответствии с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года», Законом Кемеровской области от 26.12.2018 №122-ОЗ «Об утверждении Стратегии социально-экономического развития Кемеровской области-Кузбасса на период до 2035 года», с учетом положений 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от 15.04.2014 №316 «Об утверждении государственной программы Российской Федерации «Экономическое развитие и инновационная экономика», государственной программы Кемеровской области-Кузбасса «Экономическое развитие и инновационная экономика Кузбасса», утвержденной постановлением Правительства Кемеровской области-Кузбасса от 06.10.2023 №667 «Об утверждении государственной программы Кемеровской области-Кузбасса «Экономическое развитие и инновационная экономика Кузбасса», </w:t>
      </w:r>
      <w:bookmarkStart w:id="5" w:name="_Hlk211277612"/>
      <w:r>
        <w:rPr>
          <w:rFonts w:ascii="Times New Roman" w:hAnsi="Times New Roman"/>
          <w:sz w:val="28"/>
          <w:szCs w:val="28"/>
        </w:rPr>
        <w:t>решения Новокузнецкого городского Совета народных депутатов от 25.12.2018 №17/157 «Об утверждении Стратегии социально-экономического развития Новокузнецкого городского округа до 2035 года» и включают в себя мероприятия, направленные на:</w:t>
      </w:r>
      <w:bookmarkEnd w:id="5"/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предоставление в обязательном порядке минимально достаточного комплекса услуг субъектам малого и среднего предпринимательства, действующим на территории Кузбасса;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всемерное содействие в увеличении количества субъектов малого и среднего предпринимательства и повышению качества производимых ими товаров и услуг; 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участие в разработке и реализации комплексных программ поддержки и развития малого и среднего предпринимательства; организация взаимодействия предприятий и организаций, осуществляющих поддержку малого и среднего предпринимательства в Кузбассе;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организация информационного обеспечения предпринимательской деятельности на территории Кузбасса;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обеспечение взаимодействия между бизнесом и властью через проведение совместных акций (мероприятий) и организацию постоянного диалога между органами власти и объединениями предпринимателей при содействии структур поддержки предпринимательства;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популяризация идей предпринимательства среди населения Кузбасса совместно с органами власти;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организация и проведение мероприятий, направленных на создание благоприятной внешней среды для предпринимательской деятельности.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Сведения о взаимосвязи со стратегическими приоритетами, целями и показателями государственных программ Кемеровской области-Кузбасса.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Целеполагание и задачи муниципальной программы связаны с национальной целью, определенной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года»: устойчивая и динамичная экономика, определенная Указом №309 Президента Российской Федерации.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достижения национальной цели определяется выполнением следующих показателей: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реальный рост дохода на одного работника субъекта малого и среднего предпринимательства в 1,2 раза выше, чем рост валового внутреннего продукта;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создание институциональных условий для постоянного профессионального развития работающих граждан, в том числе для получения новых профессий и повышения квалификации; увеличение доли креативных (творческих) индустрий в экономике.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Реальный рост дохода на одного работника субъекта малого и среднего предпринимательства, опережающий рост валового внутреннего продукта, отражает эффективное распределение ресурсов в экономике и создание добавленной стоимости, способствует росту потребительского спроса и стимулирует предпринимательскую активность.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указанного показателя обеспечивается за счет стимулирования структурных изменений в секторе малого и среднего предпринимательства, связанных с ростом числа субъектов малого и среднего предпринимательства в отраслях экономики.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Факторами достижения указанного показателя станут формирование для предпринимателей комфортной институциональной среды, упрощение и расширение доступа предпринимателей к мерам поддержки.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национальной цели муниципальная программа направлена на расширение доступа к финансовым ресурсам в приоритетных отраслях, увеличение охвата субъектов малого и среднего предпринимательства услугами и мерами инфраструктуры поддержки, а также достижение следующих показателей: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увеличение количества субъектов малого и среднего предпринимательства;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увеличение количества граждан, зарегистрированных в качестве Самозанятых, применяющих систему налогообложения «Налог на профессиональный доход»;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увеличение численности работников у субъектов малого и среднего предпринимательства, включая индивидуальных предпринимателей.</w:t>
      </w:r>
    </w:p>
    <w:p>
      <w:pPr>
        <w:pStyle w:val="ListParagraph"/>
        <w:spacing w:lineRule="auto" w:line="240" w:before="0" w:after="0"/>
        <w:ind w:firstLine="709" w:left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муниципальной программы является поддержка субъектов малого и среднего предпринимательства на территории Новокузнецкого городского округа.</w:t>
      </w:r>
    </w:p>
    <w:p>
      <w:pPr>
        <w:pStyle w:val="ListParagraph"/>
        <w:spacing w:lineRule="auto" w:line="240" w:before="0" w:after="0"/>
        <w:ind w:firstLine="709" w:left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FFFFFF" w:val="clear"/>
        </w:rPr>
        <w:t>Достижение цели, создаст условия для притока населения, сформирует устойчивую заинтересованность молодежи оставаться и строить жизнь на территории Новокузнецкого городского округа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Задачи муниципального управления, способы их эффективного</w:t>
        <w:br/>
        <w:t>решения в соответствующей отрасли экономики и сфере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эффективной реализации муниципальной программы, а также достижения стратегических целей и задач социально-экономического развития </w:t>
      </w:r>
      <w:bookmarkStart w:id="6" w:name="_Hlk211281746"/>
      <w:r>
        <w:rPr>
          <w:rFonts w:ascii="Times New Roman" w:hAnsi="Times New Roman"/>
          <w:sz w:val="28"/>
          <w:szCs w:val="28"/>
        </w:rPr>
        <w:t xml:space="preserve">Новокузнецкого городского округа до 2035 года </w:t>
      </w:r>
      <w:bookmarkEnd w:id="6"/>
      <w:r>
        <w:rPr>
          <w:rFonts w:ascii="Times New Roman" w:hAnsi="Times New Roman"/>
          <w:sz w:val="28"/>
          <w:szCs w:val="28"/>
        </w:rPr>
        <w:t>определены цели, разработаны структура и система показателей муниципальной программы.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Цель муниципальной программы: </w:t>
      </w:r>
      <w:r>
        <w:rPr>
          <w:rFonts w:ascii="Times New Roman" w:hAnsi="Times New Roman"/>
          <w:sz w:val="28"/>
          <w:szCs w:val="28"/>
        </w:rPr>
        <w:t>создание благоприятного предпринимательского климата и условий для ведения бизнеса на территории Новокузнецкого городского округа.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реализации </w:t>
      </w:r>
      <w:r>
        <w:rPr>
          <w:rFonts w:ascii="Times New Roman" w:hAnsi="Times New Roman"/>
          <w:iCs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программы определены следующие комплексы процессных мероприятий, обеспечивающие решение задач, направленных на достижение цели.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Комплекс процессных мероприятий «Поддержка субъектов малого и среднего предпринимательства на территории Новокузнецкого городского округа» (приложение №1 к настоящей муниципальной программе), направленный на решение следующих задач: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предоставление образовательной поддержки субъектам малого и среднего предпринимательства;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популяризация предпринимательской деятельности субъектов малого и среднего предпринимательства;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обеспечение функционирования Центра поддержки предпринимательства.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Комплекс процессных мероприятий «Создание условий легкого старта и комфортного ведения бизнеса» (приложение №2 к настоящей муниципальной программе), направленный на решение задач: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консультационная поддержка субъектов малого и среднего предпринимательства.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Индикатором достижения цели муниципальной программы является показатель: 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количество субъектов малого и среднего предпринимательства на территории Новокузнецкого городского округа.</w:t>
      </w:r>
    </w:p>
    <w:p>
      <w:pPr>
        <w:pStyle w:val="Normal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eastAsia="Calibri" w:ascii="Times New Roman" w:hAnsi="Times New Roman"/>
          <w:sz w:val="28"/>
          <w:szCs w:val="28"/>
          <w:lang w:eastAsia="en-US"/>
        </w:rPr>
      </w:r>
      <w:r>
        <w:br w:type="page"/>
      </w:r>
    </w:p>
    <w:p>
      <w:pPr>
        <w:pStyle w:val="ListParagraph"/>
        <w:spacing w:lineRule="auto" w:line="240" w:before="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  <w:br/>
        <w:t>муниципальной программы Новокузнецкого городского округа «Развитие субъектов малого и среднего предпринимательства</w:t>
        <w:br/>
        <w:t>в Новокузнецком городском округе»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 Основные положения</w:t>
      </w:r>
    </w:p>
    <w:tbl>
      <w:tblPr>
        <w:tblStyle w:val="af1"/>
        <w:tblW w:w="9627" w:type="dxa"/>
        <w:jc w:val="left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3774"/>
        <w:gridCol w:w="5852"/>
      </w:tblGrid>
      <w:tr>
        <w:trPr/>
        <w:tc>
          <w:tcPr>
            <w:tcW w:w="377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Наименование программы</w:t>
            </w:r>
          </w:p>
        </w:tc>
        <w:tc>
          <w:tcPr>
            <w:tcW w:w="585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0" w:leader="none"/>
              </w:tabs>
              <w:spacing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Развитие субъектов малого и среднего предпринимательства в Новокузнецком городском округе</w:t>
            </w:r>
          </w:p>
        </w:tc>
      </w:tr>
      <w:tr>
        <w:trPr/>
        <w:tc>
          <w:tcPr>
            <w:tcW w:w="377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Реквизиты распоряжения администрации города Новокузнецка об утверждении</w:t>
            </w:r>
          </w:p>
        </w:tc>
        <w:tc>
          <w:tcPr>
            <w:tcW w:w="5852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Распоряжение администрации города Новокузнецка от 20.09.2018 №1341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реализации»</w:t>
            </w:r>
          </w:p>
        </w:tc>
      </w:tr>
      <w:tr>
        <w:trPr/>
        <w:tc>
          <w:tcPr>
            <w:tcW w:w="377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Директор (куратор) программы</w:t>
            </w:r>
          </w:p>
        </w:tc>
        <w:tc>
          <w:tcPr>
            <w:tcW w:w="5852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Заместитель Главы по экономическим вопросам</w:t>
            </w:r>
          </w:p>
        </w:tc>
      </w:tr>
      <w:tr>
        <w:trPr>
          <w:trHeight w:val="860" w:hRule="atLeast"/>
        </w:trPr>
        <w:tc>
          <w:tcPr>
            <w:tcW w:w="377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Разработчик (ответственный исполнитель) программы</w:t>
            </w:r>
          </w:p>
        </w:tc>
        <w:tc>
          <w:tcPr>
            <w:tcW w:w="5852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Управление потребительского рынка и развития предпринимательства администрации города Новокузнецка (далее – Управление)</w:t>
            </w:r>
          </w:p>
        </w:tc>
      </w:tr>
      <w:tr>
        <w:trPr/>
        <w:tc>
          <w:tcPr>
            <w:tcW w:w="377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Период реализации    программы</w:t>
            </w:r>
          </w:p>
        </w:tc>
        <w:tc>
          <w:tcPr>
            <w:tcW w:w="5852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2026–2030 годы</w:t>
            </w:r>
          </w:p>
        </w:tc>
      </w:tr>
      <w:tr>
        <w:trPr>
          <w:trHeight w:val="1470" w:hRule="atLeast"/>
        </w:trPr>
        <w:tc>
          <w:tcPr>
            <w:tcW w:w="377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Цели программы</w:t>
            </w:r>
          </w:p>
        </w:tc>
        <w:tc>
          <w:tcPr>
            <w:tcW w:w="5852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Создание благоприятного предпринимательского климата и условий для ведения бизнеса на территории Новокузнецкого городского округа</w:t>
            </w:r>
          </w:p>
        </w:tc>
      </w:tr>
      <w:tr>
        <w:trPr/>
        <w:tc>
          <w:tcPr>
            <w:tcW w:w="377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Направления (подпрограмма) программы</w:t>
            </w:r>
          </w:p>
        </w:tc>
        <w:tc>
          <w:tcPr>
            <w:tcW w:w="5852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х</w:t>
            </w:r>
          </w:p>
        </w:tc>
      </w:tr>
      <w:tr>
        <w:trPr/>
        <w:tc>
          <w:tcPr>
            <w:tcW w:w="377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Объемы финансового обеспечения за весь период реализации программы</w:t>
            </w:r>
          </w:p>
        </w:tc>
        <w:tc>
          <w:tcPr>
            <w:tcW w:w="5852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46110,3 тыс. рублей</w:t>
            </w:r>
          </w:p>
        </w:tc>
      </w:tr>
      <w:tr>
        <w:trPr/>
        <w:tc>
          <w:tcPr>
            <w:tcW w:w="377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Связь с национальными целями развития Российской Федерации/государственной программой Кемеровской области-Кузбасса</w:t>
            </w:r>
          </w:p>
        </w:tc>
        <w:tc>
          <w:tcPr>
            <w:tcW w:w="585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1. Национальная цель: у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стойчивая и динамичная экономика.</w:t>
            </w:r>
          </w:p>
          <w:p>
            <w:pPr>
              <w:pStyle w:val="ConsPlusNormal1"/>
              <w:spacing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 Государственная программа Кемеровской области-Кузбасса «Экономическое развитие и инновационная экономика Кузбасса», утвержденная постановлением Правительства Кемеровской области-Кузбасса от 06.10.2023 №667 «Об утверждении государственной программы Кемеровской области-Кузбасса «Экономическое развитие и инновационная экономика Кузбасса»</w:t>
            </w:r>
          </w:p>
        </w:tc>
      </w:tr>
    </w:tbl>
    <w:p>
      <w:pPr>
        <w:pStyle w:val="Normal"/>
        <w:spacing w:before="120" w:after="120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Принятое сокращение:</w:t>
      </w:r>
    </w:p>
    <w:p>
      <w:pPr>
        <w:pStyle w:val="Normal"/>
        <w:spacing w:lineRule="auto" w:line="27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ОМСУ – показатели для оценки эффективности деятельности органа местного самоуправления Новокузнецкого городского округа.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418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76"/>
        <w:jc w:val="left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 Показатели муниципальной программы</w:t>
      </w:r>
    </w:p>
    <w:tbl>
      <w:tblPr>
        <w:tblW w:w="15593" w:type="dxa"/>
        <w:jc w:val="left"/>
        <w:tblInd w:w="-364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709"/>
        <w:gridCol w:w="1910"/>
        <w:gridCol w:w="850"/>
        <w:gridCol w:w="858"/>
        <w:gridCol w:w="1127"/>
        <w:gridCol w:w="736"/>
        <w:gridCol w:w="737"/>
        <w:gridCol w:w="738"/>
        <w:gridCol w:w="736"/>
        <w:gridCol w:w="795"/>
        <w:gridCol w:w="730"/>
        <w:gridCol w:w="709"/>
        <w:gridCol w:w="1697"/>
        <w:gridCol w:w="1352"/>
        <w:gridCol w:w="1909"/>
      </w:tblGrid>
      <w:tr>
        <w:trPr>
          <w:tblHeader w:val="true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Условное обозначение единицы измерения (по </w:t>
            </w:r>
            <w:hyperlink r:id="rId12">
              <w:r>
                <w:rPr>
                  <w:rStyle w:val="Style4"/>
                  <w:rFonts w:cs="Times New Roman" w:ascii="Times New Roman" w:hAnsi="Times New Roman"/>
                  <w:sz w:val="24"/>
                  <w:szCs w:val="24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Документ, подтверждающий уровень показателя 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Исполнитель, ответственный за достижение показателя 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>
        <w:trPr>
          <w:tblHeader w:val="true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blHeader w:val="true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>
          <w:trHeight w:val="53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88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Цель: Создание благоприятного предпринимательского климата и условий для ведения бизнеса на территории Новокузнецкого городского округа</w:t>
            </w:r>
          </w:p>
        </w:tc>
      </w:tr>
      <w:tr>
        <w:trPr>
          <w:trHeight w:val="155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ОМСУ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17030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2024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17775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18019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18350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Распоряжение администрации города Новокузнецка от 16.09.2024 №1485 «Об оценке эффективности деятельности органов местного самоуправления Новокузнецкого городского округа»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 2024</w:t>
              <w:softHyphen/>
              <w:t>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</w:p>
        </w:tc>
      </w:tr>
    </w:tbl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ListParagraph"/>
        <w:spacing w:lineRule="auto" w:line="240" w:before="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 Помесячный план достижения показателей муниципальной программы в 2026 году</w:t>
      </w:r>
    </w:p>
    <w:tbl>
      <w:tblPr>
        <w:tblW w:w="15371" w:type="dxa"/>
        <w:jc w:val="left"/>
        <w:tblInd w:w="-22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545"/>
        <w:gridCol w:w="1866"/>
        <w:gridCol w:w="1274"/>
        <w:gridCol w:w="1276"/>
        <w:gridCol w:w="926"/>
        <w:gridCol w:w="851"/>
        <w:gridCol w:w="850"/>
        <w:gridCol w:w="850"/>
        <w:gridCol w:w="850"/>
        <w:gridCol w:w="852"/>
        <w:gridCol w:w="850"/>
        <w:gridCol w:w="850"/>
        <w:gridCol w:w="850"/>
        <w:gridCol w:w="851"/>
        <w:gridCol w:w="918"/>
        <w:gridCol w:w="908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Условное обозначение единицы измерения (по ОКЕИ)</w:t>
            </w:r>
          </w:p>
        </w:tc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конец 2026 года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3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>
          <w:trHeight w:val="557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8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Цель: Создание благоприятного предпринимательского климата и условий для ведения бизнеса на территории Новокузнецкого городского округа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субъектов малого и среднего предпринимательства на территории Новокузнецкого городского округа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ОМСУ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17160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17175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17325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17475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17495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17520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17540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17755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spacing w:lineRule="auto" w:line="240" w:before="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 Структура муниципальной программы</w:t>
      </w:r>
    </w:p>
    <w:tbl>
      <w:tblPr>
        <w:tblW w:w="15097" w:type="dxa"/>
        <w:jc w:val="left"/>
        <w:tblInd w:w="-5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736"/>
        <w:gridCol w:w="5846"/>
        <w:gridCol w:w="5533"/>
        <w:gridCol w:w="2981"/>
      </w:tblGrid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bookmarkStart w:id="7" w:name="P959"/>
            <w:bookmarkEnd w:id="7"/>
            <w:r>
              <w:rPr>
                <w:rFonts w:ascii="Times New Roman" w:hAnsi="Times New Roman"/>
                <w:szCs w:val="24"/>
              </w:rPr>
              <w:t>№</w:t>
            </w:r>
            <w:r>
              <w:rPr>
                <w:rFonts w:ascii="Times New Roman" w:hAnsi="Times New Roman"/>
                <w:szCs w:val="24"/>
              </w:rPr>
              <w:br/>
              <w:t>п/п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Задачи структурного элемента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Связь с показателями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программы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097" w:type="dxa"/>
        <w:jc w:val="left"/>
        <w:tblInd w:w="-5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736"/>
        <w:gridCol w:w="5846"/>
        <w:gridCol w:w="5533"/>
        <w:gridCol w:w="2981"/>
      </w:tblGrid>
      <w:tr>
        <w:trPr>
          <w:tblHeader w:val="true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Комплекс процессных мероприятий «Поддержка субъектов малого и среднего предпринимательства на территории Новокузнецкого городского округа»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Ответственный за реализацию</w:t>
            </w:r>
            <w:r>
              <w:rPr>
                <w:rFonts w:ascii="Times New Roman" w:hAnsi="Times New Roman"/>
                <w:i/>
                <w:szCs w:val="24"/>
              </w:rPr>
              <w:t xml:space="preserve">: </w:t>
            </w:r>
            <w:r>
              <w:rPr>
                <w:rFonts w:eastAsia="Calibri" w:ascii="Times New Roman" w:hAnsi="Times New Roman" w:eastAsiaTheme="minorHAnsi"/>
                <w:szCs w:val="24"/>
                <w:lang w:eastAsia="en-US"/>
              </w:rPr>
              <w:t xml:space="preserve">Управление 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Срок реализации: 01.01.2026 – 31.12.2030</w:t>
            </w:r>
          </w:p>
        </w:tc>
      </w:tr>
      <w:tr>
        <w:trPr>
          <w:trHeight w:val="1475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1. </w:t>
            </w:r>
            <w:r>
              <w:rPr>
                <w:rFonts w:cs="Calibri" w:ascii="Times New Roman" w:hAnsi="Times New Roman"/>
                <w:szCs w:val="24"/>
              </w:rPr>
              <w:t>Предоставление образовательной поддержки субъектам малого и среднего предпринимательства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Содействие повышению образовательного уровня в сфере ведения бизнеса субъектами малого и среднего предпринимательства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</w:tr>
      <w:tr>
        <w:trPr>
          <w:trHeight w:val="175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2. Популяризация предпринимательской деятельности субъектов малого и среднего предпринимательства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рамках мероприятия «Популяризация предпринимательской деятельности» проведение ежегодного конкурса «Бизнес признание» на территории Новокузнецкого городского округа» (далее – Конкурс)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1.3.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Задача 3. Обеспечение функционирования </w:t>
            </w:r>
            <w:r>
              <w:rPr>
                <w:rFonts w:eastAsia="Calibri" w:ascii="Times New Roman" w:hAnsi="Times New Roman"/>
                <w:szCs w:val="24"/>
              </w:rPr>
              <w:t xml:space="preserve">Центра поддержки </w:t>
            </w:r>
            <w:r>
              <w:rPr>
                <w:rFonts w:ascii="Times New Roman" w:hAnsi="Times New Roman"/>
                <w:szCs w:val="24"/>
              </w:rPr>
              <w:t>предпринимательства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Обеспечение комплексной поддержки субъектов малого и среднего предпринимательства и самозанятых на единой площадке </w:t>
            </w:r>
            <w:r>
              <w:rPr>
                <w:rFonts w:eastAsia="Calibri" w:ascii="Times New Roman" w:hAnsi="Times New Roman"/>
                <w:szCs w:val="24"/>
              </w:rPr>
              <w:t xml:space="preserve">Центра поддержки </w:t>
            </w:r>
            <w:r>
              <w:rPr>
                <w:rFonts w:ascii="Times New Roman" w:hAnsi="Times New Roman"/>
                <w:szCs w:val="24"/>
              </w:rPr>
              <w:t>предпринимательства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Комплекс процессных мероприятий «Создание условий для легкого старта и комфортного ведения бизнеса»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Ответственный за реализацию</w:t>
            </w:r>
            <w:r>
              <w:rPr>
                <w:rFonts w:ascii="Times New Roman" w:hAnsi="Times New Roman"/>
                <w:i/>
                <w:szCs w:val="24"/>
              </w:rPr>
              <w:t xml:space="preserve">: </w:t>
            </w:r>
            <w:r>
              <w:rPr>
                <w:rFonts w:eastAsia="Calibri" w:ascii="Times New Roman" w:hAnsi="Times New Roman" w:eastAsiaTheme="minorHAnsi"/>
                <w:szCs w:val="24"/>
                <w:lang w:eastAsia="en-US"/>
              </w:rPr>
              <w:t>Управление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Срок реализации: 01.01.2026 – 31.12.2030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1.</w:t>
            </w:r>
            <w:r>
              <w:rPr>
                <w:rFonts w:cs="Calibri" w:ascii="Times New Roman" w:hAnsi="Times New Roman"/>
                <w:szCs w:val="24"/>
              </w:rPr>
              <w:t> 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льготного доступа субъектов малого и среднего предпринимательства к производственным площадям и помещениям в целях создания и развития производственных и инновационных компаний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2. Консультационная поддержка субъектов малого и среднего предпринимательства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информационной, консультационной поддержки для реализации и развития бизнес-проектов субъектов малого и среднего предпринимательства, организаций, образующих инфраструктуру поддержки субъектов малого и среднего предпринимательства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</w:tr>
    </w:tbl>
    <w:p>
      <w:pPr>
        <w:pStyle w:val="Normal"/>
        <w:spacing w:lineRule="auto" w:line="27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spacing w:lineRule="auto" w:line="240" w:before="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5. Финансовое обеспечение муниципальной программы</w:t>
      </w:r>
    </w:p>
    <w:tbl>
      <w:tblPr>
        <w:tblStyle w:val="af1"/>
        <w:tblW w:w="14452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813"/>
        <w:gridCol w:w="6191"/>
        <w:gridCol w:w="1191"/>
        <w:gridCol w:w="1191"/>
        <w:gridCol w:w="1239"/>
        <w:gridCol w:w="1280"/>
        <w:gridCol w:w="1279"/>
        <w:gridCol w:w="1266"/>
      </w:tblGrid>
      <w:tr>
        <w:trPr/>
        <w:tc>
          <w:tcPr>
            <w:tcW w:w="81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№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br/>
              <w:t>п/п</w:t>
            </w:r>
          </w:p>
        </w:tc>
        <w:tc>
          <w:tcPr>
            <w:tcW w:w="619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7446" w:type="dxa"/>
            <w:gridSpan w:val="6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28" w:hRule="atLeast"/>
        </w:trPr>
        <w:tc>
          <w:tcPr>
            <w:tcW w:w="81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19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2026</w:t>
            </w:r>
          </w:p>
        </w:tc>
        <w:tc>
          <w:tcPr>
            <w:tcW w:w="119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2027</w:t>
            </w:r>
          </w:p>
        </w:tc>
        <w:tc>
          <w:tcPr>
            <w:tcW w:w="123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2028</w:t>
            </w:r>
          </w:p>
        </w:tc>
        <w:tc>
          <w:tcPr>
            <w:tcW w:w="128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2029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2030</w:t>
            </w:r>
          </w:p>
        </w:tc>
        <w:tc>
          <w:tcPr>
            <w:tcW w:w="126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Всего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4452" w:type="dxa"/>
        <w:jc w:val="left"/>
        <w:tblInd w:w="10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813"/>
        <w:gridCol w:w="6193"/>
        <w:gridCol w:w="1194"/>
        <w:gridCol w:w="1193"/>
        <w:gridCol w:w="1242"/>
        <w:gridCol w:w="1273"/>
        <w:gridCol w:w="1275"/>
        <w:gridCol w:w="1267"/>
      </w:tblGrid>
      <w:tr>
        <w:trPr>
          <w:tblHeader w:val="true"/>
          <w:trHeight w:val="228" w:hRule="atLeast"/>
        </w:trPr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</w:tr>
      <w:tr>
        <w:trPr>
          <w:trHeight w:val="434" w:hRule="atLeast"/>
        </w:trPr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1.</w:t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Муниципальная программа Новокузнецкого городского округа «Развитие субъектов малого и среднего предпринимательства в Новокузнецком городском округе», в т.ч.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46110,3</w:t>
            </w:r>
          </w:p>
        </w:tc>
      </w:tr>
      <w:tr>
        <w:trPr>
          <w:trHeight w:val="283" w:hRule="atLeast"/>
        </w:trPr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45210,3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Исполнитель «Комитет по управлению муниципальным имуществом города Новокузнецка» 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15365,6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46110,3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45210,3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</w:t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Комплексы процессных мероприятий: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46110,3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  <w:bookmarkStart w:id="8" w:name="_Hlk211369608"/>
            <w:bookmarkEnd w:id="8"/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45210,3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Исполнитель «Комитет по управлению муниципальным имуществом города Новокузнецка» 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46110,3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15066,9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45210,3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2.1.</w:t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Комплекс процессных мероприятий «Поддержка субъектов малого и среднего предпринимательства на территории Новокузнецкого городского округа»: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46110,3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15078,9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15066,8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15064,6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45210,3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Исполнитель «Комитет по управлению муниципальным имуществом города Новокузнецка» 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46110,3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15078,9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15066,8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15064,6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45210,3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2.2.</w:t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Комплексы процессных мероприятий: «Создание условий для легкого старта и комфортного ведения бизнеса»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Исполнитель «Комитет по управлению муниципальным имуществом города Новокузнецка» </w:t>
            </w:r>
          </w:p>
        </w:tc>
        <w:tc>
          <w:tcPr>
            <w:tcW w:w="119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f1"/>
        <w:tblW w:w="14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89"/>
        <w:gridCol w:w="7280"/>
      </w:tblGrid>
      <w:tr>
        <w:trPr/>
        <w:tc>
          <w:tcPr>
            <w:tcW w:w="7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Заместитель Главы города</w:t>
              <w:br/>
              <w:t>по экономическим вопросам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И.С. Прошунина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eastAsia="Calibri" w:ascii="Times New Roman" w:hAnsi="Times New Roman"/>
          <w:sz w:val="28"/>
          <w:szCs w:val="28"/>
          <w:lang w:eastAsia="en-US"/>
        </w:rPr>
      </w:r>
      <w:r>
        <w:br w:type="page"/>
      </w:r>
    </w:p>
    <w:p>
      <w:pPr>
        <w:pStyle w:val="ListParagraph"/>
        <w:spacing w:lineRule="auto" w:line="240" w:before="0" w:after="0"/>
        <w:ind w:left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</w:t>
      </w:r>
    </w:p>
    <w:p>
      <w:pPr>
        <w:pStyle w:val="ListParagraph"/>
        <w:spacing w:lineRule="auto" w:line="240" w:before="0" w:after="0"/>
        <w:ind w:left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 Новокузнецкого</w:t>
        <w:br/>
        <w:t>городского округа «Развитие субъектов малого</w:t>
        <w:br/>
        <w:t>и среднего предпринимательства</w:t>
        <w:br/>
        <w:t>в Новокузнецком городском округе»</w:t>
      </w:r>
    </w:p>
    <w:p>
      <w:pPr>
        <w:pStyle w:val="Normal"/>
        <w:spacing w:before="360"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  <w:br/>
        <w:t>комплекса процессных мероприятий «Поддержка субъектов малого и среднего предпринимательства</w:t>
        <w:br/>
        <w:t>на территории Новокузнецкого городского округа»</w:t>
      </w:r>
    </w:p>
    <w:p>
      <w:pPr>
        <w:pStyle w:val="Normal"/>
        <w:spacing w:before="240"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 Общие положения</w:t>
      </w:r>
    </w:p>
    <w:tbl>
      <w:tblPr>
        <w:tblStyle w:val="af1"/>
        <w:tblW w:w="14992" w:type="dxa"/>
        <w:jc w:val="left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7392"/>
        <w:gridCol w:w="7599"/>
      </w:tblGrid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Ответственный орган местного самоуправления Новокузнецкого городского округа 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Управление потребительского рынка и развития предпринимательства администрации города Новокузнецка (далее – Управление)</w:t>
            </w:r>
          </w:p>
        </w:tc>
      </w:tr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Связь с муниципальной программой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0" w:leader="none"/>
              </w:tabs>
              <w:spacing w:before="12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Муниципальная программа Новокузнецкого городского округа «Развитие субъектов малого и среднего предпринимательства в Новокузнецком городском округе»</w:t>
            </w:r>
          </w:p>
        </w:tc>
      </w:tr>
    </w:tbl>
    <w:p>
      <w:pPr>
        <w:pStyle w:val="Normal"/>
        <w:spacing w:before="360" w:after="120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Принятое сокращение:</w:t>
      </w:r>
    </w:p>
    <w:p>
      <w:pPr>
        <w:pStyle w:val="Normal"/>
        <w:spacing w:lineRule="auto" w:line="27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– муниципальная программа Новокузнецкого городского округа.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 Показатели комплекса процессных мероприятий.</w:t>
      </w:r>
    </w:p>
    <w:tbl>
      <w:tblPr>
        <w:tblW w:w="15088" w:type="dxa"/>
        <w:jc w:val="left"/>
        <w:tblInd w:w="0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629"/>
        <w:gridCol w:w="2127"/>
        <w:gridCol w:w="1349"/>
        <w:gridCol w:w="1135"/>
        <w:gridCol w:w="1276"/>
        <w:gridCol w:w="1343"/>
        <w:gridCol w:w="783"/>
        <w:gridCol w:w="991"/>
        <w:gridCol w:w="993"/>
        <w:gridCol w:w="993"/>
        <w:gridCol w:w="991"/>
        <w:gridCol w:w="851"/>
        <w:gridCol w:w="1626"/>
      </w:tblGrid>
      <w:tr>
        <w:trPr>
          <w:trHeight w:val="998" w:hRule="atLeast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</w:t>
            </w:r>
            <w:r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Признак возрастания/убывания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Условное обозначение единицы измерения (по ОКЕИ)</w:t>
              <w:tab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Базовое значение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 показателя по годам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Исполнитель, ответственный за достижение показателя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2030</w:t>
            </w:r>
          </w:p>
        </w:tc>
        <w:tc>
          <w:tcPr>
            <w:tcW w:w="1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088" w:type="dxa"/>
        <w:jc w:val="left"/>
        <w:tblInd w:w="0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629"/>
        <w:gridCol w:w="2127"/>
        <w:gridCol w:w="1349"/>
        <w:gridCol w:w="1135"/>
        <w:gridCol w:w="1276"/>
        <w:gridCol w:w="1343"/>
        <w:gridCol w:w="783"/>
        <w:gridCol w:w="991"/>
        <w:gridCol w:w="993"/>
        <w:gridCol w:w="993"/>
        <w:gridCol w:w="991"/>
        <w:gridCol w:w="851"/>
        <w:gridCol w:w="1626"/>
      </w:tblGrid>
      <w:tr>
        <w:trPr>
          <w:tblHeader w:val="true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44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1.  «Предоставление образовательной поддержки субъектам малого и среднего предпринимательства»</w:t>
            </w:r>
          </w:p>
        </w:tc>
      </w:tr>
      <w:tr>
        <w:trPr>
          <w:trHeight w:val="595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субъектов малого и среднего предпринимательства, получивших образовательную поддержку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Муниципальное автономное учреждение «Центр поддержки предпринимательства» (далее – Центр поддержки предпринимательства);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Управление</w:t>
            </w:r>
          </w:p>
        </w:tc>
      </w:tr>
      <w:tr>
        <w:trPr>
          <w:trHeight w:val="251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44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</w:p>
        </w:tc>
      </w:tr>
      <w:tr>
        <w:trPr>
          <w:trHeight w:val="595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субъектов малого и среднего предпринимательства, принявших участие в мероприятиях по популяризации предпринимательской деятельности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Единиц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Центр поддержки предпринимательства;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Управление</w:t>
            </w:r>
          </w:p>
        </w:tc>
      </w:tr>
      <w:tr>
        <w:trPr>
          <w:trHeight w:val="252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44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Задача 3. «Обеспечение функционирования </w:t>
            </w:r>
            <w:r>
              <w:rPr>
                <w:rFonts w:eastAsia="Calibri" w:ascii="Times New Roman" w:hAnsi="Times New Roman"/>
                <w:szCs w:val="24"/>
              </w:rPr>
              <w:t xml:space="preserve">Центра поддержки </w:t>
            </w:r>
            <w:r>
              <w:rPr>
                <w:rFonts w:ascii="Times New Roman" w:hAnsi="Times New Roman"/>
                <w:szCs w:val="24"/>
              </w:rPr>
              <w:t>предпринимательства»</w:t>
            </w:r>
          </w:p>
        </w:tc>
      </w:tr>
      <w:tr>
        <w:trPr>
          <w:trHeight w:val="595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>Количество вновь созданных субъектов малого и среднего предпринимательства из числа физических лиц, получивших поддержку Центра поддержки предпринимательства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Центр поддержки предпринимательства 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 Помесячный план достижения показателей комплекса процессных мероприятий в 2026 году</w:t>
      </w:r>
    </w:p>
    <w:tbl>
      <w:tblPr>
        <w:tblW w:w="15452" w:type="dxa"/>
        <w:jc w:val="left"/>
        <w:tblInd w:w="-364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545"/>
        <w:gridCol w:w="2432"/>
        <w:gridCol w:w="992"/>
        <w:gridCol w:w="1276"/>
        <w:gridCol w:w="770"/>
        <w:gridCol w:w="932"/>
        <w:gridCol w:w="709"/>
        <w:gridCol w:w="850"/>
        <w:gridCol w:w="567"/>
        <w:gridCol w:w="709"/>
        <w:gridCol w:w="850"/>
        <w:gridCol w:w="850"/>
        <w:gridCol w:w="992"/>
        <w:gridCol w:w="992"/>
        <w:gridCol w:w="992"/>
        <w:gridCol w:w="990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Условное обозначение единицы измерения (по </w:t>
            </w:r>
            <w:hyperlink r:id="rId13">
              <w:r>
                <w:rPr>
                  <w:rStyle w:val="Style4"/>
                  <w:rFonts w:cs="Times New Roman" w:ascii="Times New Roman" w:hAnsi="Times New Roman"/>
                  <w:sz w:val="24"/>
                  <w:szCs w:val="24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конец 2026 года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452" w:type="dxa"/>
        <w:jc w:val="left"/>
        <w:tblInd w:w="-364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545"/>
        <w:gridCol w:w="2432"/>
        <w:gridCol w:w="992"/>
        <w:gridCol w:w="1276"/>
        <w:gridCol w:w="770"/>
        <w:gridCol w:w="932"/>
        <w:gridCol w:w="709"/>
        <w:gridCol w:w="850"/>
        <w:gridCol w:w="567"/>
        <w:gridCol w:w="709"/>
        <w:gridCol w:w="850"/>
        <w:gridCol w:w="850"/>
        <w:gridCol w:w="992"/>
        <w:gridCol w:w="992"/>
        <w:gridCol w:w="992"/>
        <w:gridCol w:w="990"/>
      </w:tblGrid>
      <w:tr>
        <w:trPr>
          <w:tblHeader w:val="true"/>
          <w:trHeight w:val="239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>
          <w:trHeight w:val="259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9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1. «Предоставление образовательной поддержки субъектам малого и среднего предпринимательства»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Количество субъектов малого и среднего предпринимательства получивших образовательную поддержку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Единиц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9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 субъектов малого и среднего предпринимательства, принявших участие в мероприятиях по популяризации предпринимательской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Единиц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</w:t>
            </w:r>
          </w:p>
        </w:tc>
      </w:tr>
      <w:tr>
        <w:trPr>
          <w:trHeight w:val="311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29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Задача 3. «</w:t>
            </w:r>
            <w:r>
              <w:rPr>
                <w:rFonts w:ascii="Times New Roman" w:hAnsi="Times New Roman"/>
              </w:rPr>
              <w:t xml:space="preserve">Обеспечение функционирования </w:t>
            </w:r>
            <w:r>
              <w:rPr>
                <w:rFonts w:eastAsia="Calibri" w:ascii="Times New Roman" w:hAnsi="Times New Roman"/>
              </w:rPr>
              <w:t xml:space="preserve">Центра поддержки </w:t>
            </w:r>
            <w:r>
              <w:rPr>
                <w:rFonts w:ascii="Times New Roman" w:hAnsi="Times New Roman"/>
              </w:rPr>
              <w:t>предпринимательства»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Количество вновь созданных субъектов малого и среднего предпринимательства из числа физических лиц, получивших поддержку </w:t>
            </w:r>
            <w:r>
              <w:rPr>
                <w:rFonts w:eastAsia="Calibri" w:ascii="Times New Roman" w:hAnsi="Times New Roman"/>
              </w:rPr>
              <w:t xml:space="preserve">Центра поддержки </w:t>
            </w:r>
            <w:r>
              <w:rPr>
                <w:rFonts w:ascii="Times New Roman" w:hAnsi="Times New Roman"/>
              </w:rPr>
              <w:t>предпринимательства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Единиц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240</w:t>
            </w:r>
          </w:p>
        </w:tc>
      </w:tr>
    </w:tbl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br w:type="page"/>
      </w:r>
      <w:r>
        <w:rPr>
          <w:rFonts w:ascii="Times New Roman" w:hAnsi="Times New Roman"/>
          <w:sz w:val="28"/>
          <w:szCs w:val="28"/>
        </w:rPr>
        <w:t>Раздел 4. Перечень мероприятий (результатов) комплекса процессный мероприятий</w:t>
      </w:r>
    </w:p>
    <w:tbl>
      <w:tblPr>
        <w:tblStyle w:val="af1"/>
        <w:tblW w:w="15113" w:type="dxa"/>
        <w:jc w:val="left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817"/>
        <w:gridCol w:w="2577"/>
        <w:gridCol w:w="2258"/>
        <w:gridCol w:w="1535"/>
        <w:gridCol w:w="1173"/>
        <w:gridCol w:w="818"/>
        <w:gridCol w:w="807"/>
        <w:gridCol w:w="799"/>
        <w:gridCol w:w="801"/>
        <w:gridCol w:w="800"/>
        <w:gridCol w:w="695"/>
        <w:gridCol w:w="2032"/>
      </w:tblGrid>
      <w:tr>
        <w:trPr/>
        <w:tc>
          <w:tcPr>
            <w:tcW w:w="81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п/п</w:t>
            </w:r>
          </w:p>
        </w:tc>
        <w:tc>
          <w:tcPr>
            <w:tcW w:w="257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2258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Тип мероприятия (результата)</w:t>
            </w:r>
          </w:p>
        </w:tc>
        <w:tc>
          <w:tcPr>
            <w:tcW w:w="153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Условное обозначение единицы измерения (по ОКЕИ)</w:t>
            </w:r>
          </w:p>
        </w:tc>
        <w:tc>
          <w:tcPr>
            <w:tcW w:w="1991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Базовое значение</w:t>
            </w:r>
          </w:p>
        </w:tc>
        <w:tc>
          <w:tcPr>
            <w:tcW w:w="3902" w:type="dxa"/>
            <w:gridSpan w:val="5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2032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Связь с показателями комплекса процессных мероприятий (при наличии)</w:t>
            </w:r>
          </w:p>
        </w:tc>
      </w:tr>
      <w:tr>
        <w:trPr/>
        <w:tc>
          <w:tcPr>
            <w:tcW w:w="8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57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25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53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значение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год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2026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2027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2028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2029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2030</w:t>
            </w:r>
          </w:p>
        </w:tc>
        <w:tc>
          <w:tcPr>
            <w:tcW w:w="203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5113" w:type="dxa"/>
        <w:jc w:val="left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817"/>
        <w:gridCol w:w="2577"/>
        <w:gridCol w:w="2258"/>
        <w:gridCol w:w="1535"/>
        <w:gridCol w:w="1173"/>
        <w:gridCol w:w="818"/>
        <w:gridCol w:w="807"/>
        <w:gridCol w:w="799"/>
        <w:gridCol w:w="801"/>
        <w:gridCol w:w="800"/>
        <w:gridCol w:w="695"/>
        <w:gridCol w:w="2032"/>
      </w:tblGrid>
      <w:tr>
        <w:trPr>
          <w:tblHeader w:val="true"/>
        </w:trPr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</w:t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</w:t>
            </w:r>
          </w:p>
        </w:tc>
      </w:tr>
      <w:tr>
        <w:trPr>
          <w:trHeight w:val="161" w:hRule="atLeast"/>
        </w:trPr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1.</w:t>
            </w:r>
          </w:p>
        </w:tc>
        <w:tc>
          <w:tcPr>
            <w:tcW w:w="14295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1. «Предоставление образовательной поддержки субъектам малого и среднего предпринимательства»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bookmarkStart w:id="9" w:name="_Hlk211455588"/>
            <w:bookmarkEnd w:id="9"/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Наименование мероприятия «Проведение образовательных мероприятий по поддержке субъектов малого и среднего предпринимательства» 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Осуществление текущей деятельности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ind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субъектов малого и среднего предпринимательства получивших образовательную поддержку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1.1.1.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Проведены образовательные мероприятия на базе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Единиц</w:t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75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2024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75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75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75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ind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bookmarkStart w:id="10" w:name="_Hlk211455588"/>
            <w:bookmarkEnd w:id="10"/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</w:t>
            </w:r>
          </w:p>
        </w:tc>
        <w:tc>
          <w:tcPr>
            <w:tcW w:w="14295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  <w:bookmarkStart w:id="11" w:name="_Hlk211375029"/>
            <w:bookmarkEnd w:id="11"/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Наименование мероприятия «Проведение конкурсов по популяризации предпринимательской деятельности»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Осуществление текущей деятельности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  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   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Количество субъектов малого и среднего предпринимательства, принявших участие в мероприятиях по популяризации предпринимательской деятельности</w:t>
            </w:r>
          </w:p>
        </w:tc>
      </w:tr>
      <w:tr>
        <w:trPr>
          <w:trHeight w:val="587" w:hRule="atLeast"/>
        </w:trPr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2.1.1.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Проведены мероприятия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Единиц</w:t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2024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szCs w:val="24"/>
              </w:rPr>
            </w:pPr>
            <w:r>
              <w:rPr>
                <w:kern w:val="0"/>
                <w:szCs w:val="24"/>
                <w:lang w:val="ru-RU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3.</w:t>
            </w:r>
          </w:p>
        </w:tc>
        <w:tc>
          <w:tcPr>
            <w:tcW w:w="14295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Задача 3. «Обеспечение функционирования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предпринимательства»</w:t>
            </w:r>
          </w:p>
        </w:tc>
      </w:tr>
      <w:tr>
        <w:trPr>
          <w:trHeight w:val="1873" w:hRule="atLeast"/>
        </w:trPr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Наименование мероприятия «Обеспечение деятельности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Оказание услуг (выполнение работ)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Количество вновь созданных субъектов малого и среднего предпринимательства из числа физических лиц, получивших поддержку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</w:t>
            </w:r>
          </w:p>
        </w:tc>
      </w:tr>
      <w:tr>
        <w:trPr>
          <w:trHeight w:val="850" w:hRule="atLeast"/>
        </w:trPr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3.1.1.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Содержание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предпринимательства, в том числе оплата заработной платы, налогов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Человек</w:t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2024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5. Финансовое обеспечение комплекса процессных мероприятий</w:t>
      </w:r>
    </w:p>
    <w:tbl>
      <w:tblPr>
        <w:tblStyle w:val="af1"/>
        <w:tblW w:w="15158" w:type="dxa"/>
        <w:jc w:val="left"/>
        <w:tblInd w:w="-34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697"/>
        <w:gridCol w:w="6390"/>
        <w:gridCol w:w="1419"/>
        <w:gridCol w:w="1416"/>
        <w:gridCol w:w="1472"/>
        <w:gridCol w:w="1215"/>
        <w:gridCol w:w="1275"/>
        <w:gridCol w:w="1272"/>
      </w:tblGrid>
      <w:tr>
        <w:trPr/>
        <w:tc>
          <w:tcPr>
            <w:tcW w:w="69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п/п</w:t>
            </w:r>
          </w:p>
        </w:tc>
        <w:tc>
          <w:tcPr>
            <w:tcW w:w="6390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8069" w:type="dxa"/>
            <w:gridSpan w:val="6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28" w:hRule="atLeast"/>
        </w:trPr>
        <w:tc>
          <w:tcPr>
            <w:tcW w:w="69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2026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2027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2028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2029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2030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Всего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5158" w:type="dxa"/>
        <w:jc w:val="left"/>
        <w:tblInd w:w="-34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697"/>
        <w:gridCol w:w="6390"/>
        <w:gridCol w:w="1419"/>
        <w:gridCol w:w="1416"/>
        <w:gridCol w:w="1472"/>
        <w:gridCol w:w="1215"/>
        <w:gridCol w:w="1275"/>
        <w:gridCol w:w="1272"/>
      </w:tblGrid>
      <w:tr>
        <w:trPr>
          <w:tblHeader w:val="true"/>
          <w:trHeight w:val="228" w:hRule="atLeast"/>
        </w:trPr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Комплекс процессных мероприятий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«Поддержка субъектов малого и среднего предпринимательства на территории Новокузнецкого городского округа», в т.ч.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15378,9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15366,8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15364,6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46110,3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15078,9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15066,8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15064,6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45210,3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Исполнитель «Комитет по управлению муниципальным имуществом города Новокузнецка»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15378,9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15366,8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15364,6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46110,3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15078,9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15066,8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15064,6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45210,3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1. «Предоставление образовательной поддержки субъектам малого и среднего предпринимательства»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38" w:leader="none"/>
              </w:tabs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11.1.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Мероприятие (результат) «Проведение образовательных мероприятия по поддержке субъектов малого и среднего предпринимательства»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 управлению муниципальным имуществом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300,0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900,0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2.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12.2.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Мероприятие (результат) «Проведение конкурсов по популяризации предпринимательской деятельности»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7050,0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7050,0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 управлению муниципальным имуществом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7050,0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2350,0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7050,0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3.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Задача 3. «Обеспечение функционирования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3.1.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Мероприятие (результат) «Обеспечение деятельности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12728,9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12716,8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12714,6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38160,3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12728,9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12716,8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12714,6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38160,3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 управлению муниципальным имуществом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12728,9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12716,8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12714,6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38160,3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12728,9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12716,8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12714,6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38160,3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</w:tbl>
    <w:p>
      <w:pPr>
        <w:pStyle w:val="Normal"/>
        <w:spacing w:lineRule="auto" w:line="27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6. План реализации комплекса процессных мероприятий</w:t>
      </w:r>
    </w:p>
    <w:tbl>
      <w:tblPr>
        <w:tblStyle w:val="af1"/>
        <w:tblW w:w="14594" w:type="dxa"/>
        <w:jc w:val="left"/>
        <w:tblInd w:w="-34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6012"/>
        <w:gridCol w:w="3004"/>
        <w:gridCol w:w="2921"/>
        <w:gridCol w:w="2656"/>
      </w:tblGrid>
      <w:tr>
        <w:trPr/>
        <w:tc>
          <w:tcPr>
            <w:tcW w:w="601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Задача, мероприятие (результат) / контрольная точка</w:t>
            </w:r>
          </w:p>
        </w:tc>
        <w:tc>
          <w:tcPr>
            <w:tcW w:w="300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Дата наступления контрольной точки</w:t>
            </w:r>
          </w:p>
        </w:tc>
        <w:tc>
          <w:tcPr>
            <w:tcW w:w="292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Исполнитель, ответственный за реализацию</w:t>
            </w:r>
          </w:p>
        </w:tc>
        <w:tc>
          <w:tcPr>
            <w:tcW w:w="265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Вид документа, подтверждающего факт достижения контрольной точки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4594" w:type="dxa"/>
        <w:jc w:val="left"/>
        <w:tblInd w:w="-34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6005"/>
        <w:gridCol w:w="2996"/>
        <w:gridCol w:w="2932"/>
        <w:gridCol w:w="2660"/>
      </w:tblGrid>
      <w:tr>
        <w:trPr>
          <w:tblHeader w:val="true"/>
        </w:trPr>
        <w:tc>
          <w:tcPr>
            <w:tcW w:w="600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</w:tr>
      <w:tr>
        <w:trPr/>
        <w:tc>
          <w:tcPr>
            <w:tcW w:w="11933" w:type="dxa"/>
            <w:gridSpan w:val="3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1. «Предоставление образовательной поддержки субъектам малого и среднего предпринимательства»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/>
        <w:tc>
          <w:tcPr>
            <w:tcW w:w="600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Мероприятие (результат) 1 «Проведение образовательных мероприятия по поддержке субъектов малого и среднего предпринимательства»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Х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Управление;</w:t>
            </w:r>
          </w:p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предпринимательства 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/>
        <w:tc>
          <w:tcPr>
            <w:tcW w:w="600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Контрольная точка 1.1.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Не предусмотрена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/>
        <w:tc>
          <w:tcPr>
            <w:tcW w:w="11933" w:type="dxa"/>
            <w:gridSpan w:val="3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/>
        <w:tc>
          <w:tcPr>
            <w:tcW w:w="600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Мероприятие (результат) 2 «Проведение конкурсов по популяризации предпринимательской деятельности»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Х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Управление;</w:t>
            </w:r>
          </w:p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предпринимательства 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/>
        <w:tc>
          <w:tcPr>
            <w:tcW w:w="600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Контрольная точка 2.1.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Не предусмотрена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>
          <w:trHeight w:val="249" w:hRule="atLeast"/>
        </w:trPr>
        <w:tc>
          <w:tcPr>
            <w:tcW w:w="11933" w:type="dxa"/>
            <w:gridSpan w:val="3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Задача 3. «Обеспечение функционирования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предпринимательства»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>
          <w:trHeight w:val="940" w:hRule="atLeast"/>
        </w:trPr>
        <w:tc>
          <w:tcPr>
            <w:tcW w:w="600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Мероприятие (результат) 3 «Обеспечение функционирования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Х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Комитет по управлению муниципальным имуществом города Новокузнецка (далее – КУМИ)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>
          <w:trHeight w:val="220" w:hRule="atLeast"/>
        </w:trPr>
        <w:tc>
          <w:tcPr>
            <w:tcW w:w="6005" w:type="dxa"/>
            <w:tcBorders/>
          </w:tcPr>
          <w:p>
            <w:pPr>
              <w:pStyle w:val="ConsPlusNormal1"/>
              <w:spacing w:before="0" w:after="0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Контрольная точка 3.1. Муниципальное задание на оказание муниципальных услуг (выполнение работ) утверждено (размещено) в государственной информационной системе государственных (муниципальных) услуг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https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://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bus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gov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ru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15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.</w:t>
            </w: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01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.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КУМИ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Приказ КУМИ о муниципальном задании</w:t>
            </w:r>
          </w:p>
        </w:tc>
      </w:tr>
      <w:tr>
        <w:trPr>
          <w:trHeight w:val="1200" w:hRule="atLeast"/>
        </w:trPr>
        <w:tc>
          <w:tcPr>
            <w:tcW w:w="6005" w:type="dxa"/>
            <w:tcBorders/>
          </w:tcPr>
          <w:p>
            <w:pPr>
              <w:pStyle w:val="ConsPlusNormal1"/>
              <w:spacing w:before="0" w:after="0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Контрольная точка 3.2.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 (включено в реестр соглашений)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15.01.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КУМИ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Соглашение между КУМИ и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 о предоставлении субсидии на выполнение муниципального задания (выполнения работ)</w:t>
            </w:r>
          </w:p>
        </w:tc>
      </w:tr>
      <w:tr>
        <w:trPr>
          <w:trHeight w:val="1200" w:hRule="atLeast"/>
        </w:trPr>
        <w:tc>
          <w:tcPr>
            <w:tcW w:w="6005" w:type="dxa"/>
            <w:tcBorders/>
          </w:tcPr>
          <w:p>
            <w:pPr>
              <w:pStyle w:val="ConsPlusNormal1"/>
              <w:spacing w:before="0" w:after="0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Контрольная точка 3.3. Услуга оказана (работы выполнены)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15.01.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предпринимательства 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Отчет о выполнении муниципального задания</w:t>
            </w:r>
          </w:p>
        </w:tc>
      </w:tr>
      <w:tr>
        <w:trPr>
          <w:trHeight w:val="1200" w:hRule="atLeast"/>
        </w:trPr>
        <w:tc>
          <w:tcPr>
            <w:tcW w:w="6005" w:type="dxa"/>
            <w:tcBorders/>
          </w:tcPr>
          <w:p>
            <w:pPr>
              <w:pStyle w:val="ConsPlusNormal1"/>
              <w:spacing w:before="0" w:after="0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Контрольная точка 3.4. Представлен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15.01.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предпринимательства </w:t>
            </w:r>
          </w:p>
        </w:tc>
        <w:tc>
          <w:tcPr>
            <w:tcW w:w="266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Отчет о выполнении муниципального задания</w:t>
            </w:r>
          </w:p>
        </w:tc>
      </w:tr>
    </w:tbl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br w:type="page"/>
      </w:r>
    </w:p>
    <w:p>
      <w:pPr>
        <w:pStyle w:val="ListParagraph"/>
        <w:spacing w:lineRule="auto" w:line="240" w:before="0" w:after="0"/>
        <w:ind w:left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>
      <w:pPr>
        <w:pStyle w:val="ListParagraph"/>
        <w:spacing w:lineRule="auto" w:line="240" w:before="0" w:after="0"/>
        <w:ind w:left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 Новокузнецкого</w:t>
        <w:br/>
        <w:t>городского округа «Развитие субъектов малого</w:t>
        <w:br/>
        <w:t>и среднего предпринимательства</w:t>
        <w:br/>
        <w:t>в Новокузнецком городском округе»</w:t>
      </w:r>
    </w:p>
    <w:p>
      <w:pPr>
        <w:pStyle w:val="Normal"/>
        <w:spacing w:before="360"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  <w:br/>
        <w:t>комплекса процессных мероприятий «Создание условий для легкого старта и комфортного ведения бизнеса»</w:t>
      </w:r>
    </w:p>
    <w:p>
      <w:pPr>
        <w:pStyle w:val="Normal"/>
        <w:spacing w:before="240"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 Общие положения</w:t>
      </w:r>
    </w:p>
    <w:tbl>
      <w:tblPr>
        <w:tblStyle w:val="af1"/>
        <w:tblW w:w="14992" w:type="dxa"/>
        <w:jc w:val="left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7392"/>
        <w:gridCol w:w="7599"/>
      </w:tblGrid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Ответственный орган местного самоуправления Новокузнецкого городского округа 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Управление потребительского рынка и развития предпринимательства администрации города Новокузнецка (далее – Управление)</w:t>
            </w:r>
          </w:p>
        </w:tc>
      </w:tr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Связь с муниципальной программой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0" w:leader="none"/>
              </w:tabs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Муниципальная программа Новокузнецкого городского округа «Развитие субъектов малого и среднего предпринимательства в Новокузнецком городском округе»</w:t>
            </w:r>
          </w:p>
        </w:tc>
      </w:tr>
    </w:tbl>
    <w:p>
      <w:pPr>
        <w:pStyle w:val="Normal"/>
        <w:spacing w:before="360" w:after="120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Принятое сокращение:</w:t>
      </w:r>
    </w:p>
    <w:p>
      <w:pPr>
        <w:pStyle w:val="Normal"/>
        <w:spacing w:lineRule="auto" w:line="27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– муниципальная программа Новокузнецкого городского округа.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 Показатели комплекса процессных мероприятий</w:t>
      </w:r>
    </w:p>
    <w:tbl>
      <w:tblPr>
        <w:tblW w:w="15021" w:type="dxa"/>
        <w:jc w:val="left"/>
        <w:tblInd w:w="-80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623"/>
        <w:gridCol w:w="2983"/>
        <w:gridCol w:w="850"/>
        <w:gridCol w:w="926"/>
        <w:gridCol w:w="1275"/>
        <w:gridCol w:w="1344"/>
        <w:gridCol w:w="783"/>
        <w:gridCol w:w="991"/>
        <w:gridCol w:w="993"/>
        <w:gridCol w:w="993"/>
        <w:gridCol w:w="991"/>
        <w:gridCol w:w="852"/>
        <w:gridCol w:w="1416"/>
      </w:tblGrid>
      <w:tr>
        <w:trPr>
          <w:trHeight w:val="998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</w:t>
            </w:r>
            <w:r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Признак возрастания/убывания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Условное обозначение единицы измерения (по ОКЕИ)</w:t>
              <w:tab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Базовое значение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 показателя по годам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Исполнитель, ответственный за достижение показателя</w:t>
            </w:r>
          </w:p>
        </w:tc>
      </w:tr>
      <w:tr>
        <w:trPr/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2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2030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021" w:type="dxa"/>
        <w:jc w:val="left"/>
        <w:tblInd w:w="-80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623"/>
        <w:gridCol w:w="2983"/>
        <w:gridCol w:w="850"/>
        <w:gridCol w:w="926"/>
        <w:gridCol w:w="1275"/>
        <w:gridCol w:w="1344"/>
        <w:gridCol w:w="783"/>
        <w:gridCol w:w="991"/>
        <w:gridCol w:w="993"/>
        <w:gridCol w:w="993"/>
        <w:gridCol w:w="991"/>
        <w:gridCol w:w="852"/>
        <w:gridCol w:w="1416"/>
      </w:tblGrid>
      <w:tr>
        <w:trPr>
          <w:tblHeader w:val="true"/>
          <w:trHeight w:val="203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43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1. «Имущественная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предпринимательства»</w:t>
            </w:r>
          </w:p>
        </w:tc>
      </w:tr>
      <w:tr>
        <w:trPr>
          <w:trHeight w:val="595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площади объектов, фактически переданной в пользование на долгосрочной основе субъектам малого и среднего предпринимательства, организациям, образующим инфраструктуру поддержки малого и среднего предпринимательства, от общей площади объектов, включенных в перечень муниципального имущества, предназначенного для передачи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Комитет по управлению муниципальным имуществом города Новокузнецка (далее – КУМИ)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43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>Задача 2. «Консультационная поддержка субъектов малого и среднего предпринимательства»</w:t>
            </w:r>
          </w:p>
        </w:tc>
      </w:tr>
      <w:tr>
        <w:trPr>
          <w:trHeight w:val="595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Количество </w:t>
            </w:r>
            <w:r>
              <w:rPr>
                <w:rFonts w:eastAsia="Calibri" w:ascii="Times New Roman" w:hAnsi="Times New Roman"/>
                <w:bCs/>
                <w:szCs w:val="24"/>
                <w:lang w:eastAsia="en-US"/>
              </w:rPr>
              <w:t xml:space="preserve">информационно-консультационных услуг, оказанных </w:t>
            </w:r>
            <w:r>
              <w:rPr>
                <w:rFonts w:ascii="Times New Roman" w:hAnsi="Times New Roman"/>
                <w:szCs w:val="24"/>
              </w:rPr>
              <w:t xml:space="preserve">субъектам малого и среднего предпринимательства, </w:t>
            </w:r>
            <w:r>
              <w:rPr>
                <w:rFonts w:eastAsia="Calibri" w:ascii="Times New Roman" w:hAnsi="Times New Roman"/>
                <w:bCs/>
                <w:szCs w:val="24"/>
                <w:lang w:eastAsia="en-US"/>
              </w:rPr>
              <w:t xml:space="preserve">юридическим лицам, не являющимся субъектами малого и среднего предпринимательства, физическим лицам в муниципальном автономном учреждении «Центр поддержки предпринимательства» </w:t>
            </w:r>
            <w:r>
              <w:rPr>
                <w:rFonts w:ascii="Times New Roman" w:hAnsi="Times New Roman"/>
                <w:szCs w:val="24"/>
              </w:rPr>
              <w:t>(далее – Центр поддержки предпринимательства)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2905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3095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szCs w:val="24"/>
              </w:rPr>
              <w:t xml:space="preserve">Центр поддержки </w:t>
            </w:r>
            <w:r>
              <w:rPr>
                <w:rFonts w:ascii="Times New Roman" w:hAnsi="Times New Roman"/>
                <w:szCs w:val="24"/>
              </w:rPr>
              <w:t>предпринимательства;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Управление</w:t>
            </w:r>
            <w:bookmarkStart w:id="12" w:name="_Hlk211455031"/>
            <w:bookmarkEnd w:id="12"/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 Помесячный план достижения показателей комплекса процессных мероприятий в 2026 году</w:t>
      </w:r>
    </w:p>
    <w:tbl>
      <w:tblPr>
        <w:tblW w:w="15536" w:type="dxa"/>
        <w:jc w:val="left"/>
        <w:tblInd w:w="-364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568"/>
        <w:gridCol w:w="2433"/>
        <w:gridCol w:w="850"/>
        <w:gridCol w:w="1275"/>
        <w:gridCol w:w="771"/>
        <w:gridCol w:w="789"/>
        <w:gridCol w:w="850"/>
        <w:gridCol w:w="850"/>
        <w:gridCol w:w="710"/>
        <w:gridCol w:w="708"/>
        <w:gridCol w:w="850"/>
        <w:gridCol w:w="993"/>
        <w:gridCol w:w="993"/>
        <w:gridCol w:w="991"/>
        <w:gridCol w:w="993"/>
        <w:gridCol w:w="908"/>
      </w:tblGrid>
      <w:tr>
        <w:trPr/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Условное обозначение единицы измерения (по </w:t>
            </w:r>
            <w:hyperlink r:id="rId14">
              <w:r>
                <w:rPr>
                  <w:rStyle w:val="Style4"/>
                  <w:rFonts w:cs="Times New Roman" w:ascii="Times New Roman" w:hAnsi="Times New Roman"/>
                  <w:sz w:val="24"/>
                  <w:szCs w:val="24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конец 2026 года</w:t>
            </w:r>
          </w:p>
        </w:tc>
      </w:tr>
      <w:tr>
        <w:trPr/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536" w:type="dxa"/>
        <w:jc w:val="left"/>
        <w:tblInd w:w="-364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noHBand="0" w:noVBand="1" w:firstColumn="1" w:lastRow="0" w:lastColumn="0" w:firstRow="1"/>
      </w:tblPr>
      <w:tblGrid>
        <w:gridCol w:w="568"/>
        <w:gridCol w:w="2433"/>
        <w:gridCol w:w="850"/>
        <w:gridCol w:w="1275"/>
        <w:gridCol w:w="771"/>
        <w:gridCol w:w="789"/>
        <w:gridCol w:w="850"/>
        <w:gridCol w:w="850"/>
        <w:gridCol w:w="710"/>
        <w:gridCol w:w="708"/>
        <w:gridCol w:w="850"/>
        <w:gridCol w:w="993"/>
        <w:gridCol w:w="993"/>
        <w:gridCol w:w="991"/>
        <w:gridCol w:w="993"/>
        <w:gridCol w:w="908"/>
      </w:tblGrid>
      <w:tr>
        <w:trPr>
          <w:tblHeader w:val="true"/>
          <w:trHeight w:val="23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>
          <w:trHeight w:val="414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9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1. «Имущественная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предпринимательства»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Доля площади объектов, фактически переданной в пользование на долгосрочной основе субъектам малого и среднего предпринимательства, организациям, образующим инфраструктуру поддержки малого и среднего предпринимательства, от общей площади объектов, включенных в перечень муниципального имущества, предназначенного для передачи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9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2. «Консультационная поддержка субъектов малого и среднего предпринимательства»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</w:t>
            </w:r>
            <w:bookmarkStart w:id="13" w:name="_Hlk211456372"/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en-US"/>
              </w:rPr>
              <w:t xml:space="preserve">информационно-консультационных </w:t>
            </w:r>
            <w:bookmarkEnd w:id="13"/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en-US"/>
              </w:rPr>
              <w:t xml:space="preserve">услуг, оказанных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субъектам малого и среднего предпринимательства,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en-US"/>
              </w:rPr>
              <w:t>юридическим лицам, не являющимся субъектами малого и среднего предпринимательства, физическим лицам в Центре поддержки предпринимательства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283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 Перечень мероприятий (результатов) комплекса процессный мероприятий</w:t>
      </w:r>
    </w:p>
    <w:tbl>
      <w:tblPr>
        <w:tblStyle w:val="af1"/>
        <w:tblW w:w="15310" w:type="dxa"/>
        <w:jc w:val="left"/>
        <w:tblInd w:w="-176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126"/>
        <w:gridCol w:w="2127"/>
        <w:gridCol w:w="1558"/>
        <w:gridCol w:w="1135"/>
        <w:gridCol w:w="992"/>
        <w:gridCol w:w="851"/>
        <w:gridCol w:w="850"/>
        <w:gridCol w:w="851"/>
        <w:gridCol w:w="850"/>
        <w:gridCol w:w="851"/>
        <w:gridCol w:w="2267"/>
      </w:tblGrid>
      <w:tr>
        <w:trPr/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№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br/>
              <w:t>п/п</w:t>
            </w:r>
          </w:p>
        </w:tc>
        <w:tc>
          <w:tcPr>
            <w:tcW w:w="212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212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Тип мероприятия (результата)</w:t>
            </w:r>
          </w:p>
        </w:tc>
        <w:tc>
          <w:tcPr>
            <w:tcW w:w="1558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Условное обозначение единицы измерения (по ОКЕИ)</w:t>
            </w:r>
          </w:p>
        </w:tc>
        <w:tc>
          <w:tcPr>
            <w:tcW w:w="2127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Базовое значение</w:t>
            </w:r>
          </w:p>
        </w:tc>
        <w:tc>
          <w:tcPr>
            <w:tcW w:w="4253" w:type="dxa"/>
            <w:gridSpan w:val="5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Связь с показателями комплекса процессных мероприятий (при наличии)</w:t>
            </w:r>
          </w:p>
        </w:tc>
      </w:tr>
      <w:tr>
        <w:trPr/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значение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год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2026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2030</w:t>
            </w:r>
          </w:p>
        </w:tc>
        <w:tc>
          <w:tcPr>
            <w:tcW w:w="226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5310" w:type="dxa"/>
        <w:jc w:val="left"/>
        <w:tblInd w:w="-176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126"/>
        <w:gridCol w:w="2127"/>
        <w:gridCol w:w="1558"/>
        <w:gridCol w:w="1135"/>
        <w:gridCol w:w="992"/>
        <w:gridCol w:w="851"/>
        <w:gridCol w:w="850"/>
        <w:gridCol w:w="851"/>
        <w:gridCol w:w="850"/>
        <w:gridCol w:w="851"/>
        <w:gridCol w:w="2267"/>
      </w:tblGrid>
      <w:tr>
        <w:trPr>
          <w:tblHeader w:val="true"/>
        </w:trPr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12</w:t>
            </w:r>
          </w:p>
        </w:tc>
      </w:tr>
      <w:tr>
        <w:trPr>
          <w:trHeight w:val="161" w:hRule="atLeast"/>
        </w:trPr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1.</w:t>
            </w:r>
          </w:p>
        </w:tc>
        <w:tc>
          <w:tcPr>
            <w:tcW w:w="14458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1. «Имущественная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предпринимательства»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1.1.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Наименование мероприятия «Проведение мероприятий по поддержке имущественной субъектов малого и среднего предпринимательства»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Осуществление текущей деятельности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Доля площади объектов, фактически переданной в пользование на долгосрочной основе субъектам малого и среднего предпринимательства, организациям, образующим инфраструктуру поддержки малого и среднего предпринимательства, от общей площади объектов, включенных в перечень муниципального имущества, предназначенного для передачи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1.1.1.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Предоставлено субъектам малого и среднего предпринимательства имущественной поддержки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Единиц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74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  <w:bookmarkStart w:id="14" w:name="_Hlk211456075"/>
            <w:bookmarkStart w:id="15" w:name="_Hlk211456075"/>
            <w:bookmarkEnd w:id="15"/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</w:t>
            </w:r>
          </w:p>
        </w:tc>
        <w:tc>
          <w:tcPr>
            <w:tcW w:w="14458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2 «Консультационная поддержка субъектов малого и среднего предпринимательства»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2.1.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Наименование мероприятия «Проведение </w:t>
            </w:r>
            <w:r>
              <w:rPr>
                <w:rFonts w:eastAsia="Calibri" w:ascii="Times New Roman" w:hAnsi="Times New Roman"/>
                <w:bCs/>
                <w:kern w:val="0"/>
                <w:szCs w:val="24"/>
                <w:lang w:val="ru-RU" w:eastAsia="en-US" w:bidi="ar-SA"/>
              </w:rPr>
              <w:t>информационно-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консультационных мероприятий по поддержке субъектов малого и среднего предпринимательства»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Осуществление текущей деятельности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Cs w:val="24"/>
                <w:lang w:val="ru-RU" w:bidi="ar-SA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Количество </w:t>
            </w:r>
            <w:r>
              <w:rPr>
                <w:rFonts w:eastAsia="Calibri" w:ascii="Times New Roman" w:hAnsi="Times New Roman"/>
                <w:bCs/>
                <w:kern w:val="0"/>
                <w:szCs w:val="24"/>
                <w:lang w:val="ru-RU" w:eastAsia="en-US" w:bidi="ar-SA"/>
              </w:rPr>
              <w:t xml:space="preserve">информационно-консультационных услуг, оказанных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субъектам малого и среднего предпринимательства, </w:t>
            </w:r>
            <w:r>
              <w:rPr>
                <w:rFonts w:eastAsia="Calibri" w:ascii="Times New Roman" w:hAnsi="Times New Roman"/>
                <w:bCs/>
                <w:kern w:val="0"/>
                <w:szCs w:val="24"/>
                <w:lang w:val="ru-RU" w:eastAsia="en-US" w:bidi="ar-SA"/>
              </w:rPr>
              <w:t>юридическим лицам, не являющимся субъектами малого и среднего предпринимательства, физическим лицам в Центре поддержки предпринимательства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2.1.1.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Проконсультированы субъекты малого и среднего предпринимательства по правовым, налоговым вопросам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Единиц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500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570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570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570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  <w:bookmarkStart w:id="16" w:name="_Hlk211456173"/>
            <w:bookmarkStart w:id="17" w:name="_Hlk211456173"/>
            <w:bookmarkEnd w:id="17"/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5. Финансовое обеспечение комплекса процессных мероприятий</w:t>
      </w:r>
    </w:p>
    <w:tbl>
      <w:tblPr>
        <w:tblStyle w:val="af1"/>
        <w:tblW w:w="14220" w:type="dxa"/>
        <w:jc w:val="left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695"/>
        <w:gridCol w:w="5972"/>
        <w:gridCol w:w="1135"/>
        <w:gridCol w:w="1179"/>
        <w:gridCol w:w="1470"/>
        <w:gridCol w:w="1216"/>
        <w:gridCol w:w="1274"/>
        <w:gridCol w:w="1277"/>
      </w:tblGrid>
      <w:tr>
        <w:trPr/>
        <w:tc>
          <w:tcPr>
            <w:tcW w:w="69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п/п</w:t>
            </w:r>
          </w:p>
        </w:tc>
        <w:tc>
          <w:tcPr>
            <w:tcW w:w="5972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7551" w:type="dxa"/>
            <w:gridSpan w:val="6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28" w:hRule="atLeast"/>
        </w:trPr>
        <w:tc>
          <w:tcPr>
            <w:tcW w:w="69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597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2026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2027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2028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2029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2030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Всего</w:t>
            </w:r>
          </w:p>
        </w:tc>
      </w:tr>
      <w:tr>
        <w:trPr>
          <w:trHeight w:val="228" w:hRule="atLeast"/>
        </w:trPr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</w:tr>
      <w:tr>
        <w:trPr/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«Создание условий для легкого старта и комфортного ведения бизнеса», в т.ч.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«КУМИ»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tabs>
          <w:tab w:val="clear" w:pos="709"/>
          <w:tab w:val="left" w:pos="7755" w:leader="none"/>
        </w:tabs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6. План реализации комплекса процессных мероприятий</w:t>
      </w:r>
    </w:p>
    <w:tbl>
      <w:tblPr>
        <w:tblStyle w:val="af1"/>
        <w:tblW w:w="14560" w:type="dxa"/>
        <w:jc w:val="left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5723"/>
        <w:gridCol w:w="3227"/>
        <w:gridCol w:w="2944"/>
        <w:gridCol w:w="2665"/>
      </w:tblGrid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Задача, мероприятие (результат) / контрольная точка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Дата наступления контрольной точки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Исполнитель, ответственный за реализацию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Вид документа, подтверждающего факт достижения контрольной точки</w:t>
            </w:r>
          </w:p>
        </w:tc>
      </w:tr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</w:tr>
      <w:tr>
        <w:trPr>
          <w:trHeight w:val="548" w:hRule="atLeast"/>
        </w:trPr>
        <w:tc>
          <w:tcPr>
            <w:tcW w:w="14559" w:type="dxa"/>
            <w:gridSpan w:val="4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1. «</w:t>
            </w:r>
            <w:r>
              <w:rPr>
                <w:rFonts w:cs="Calibri" w:ascii="Times New Roman" w:hAnsi="Times New Roman"/>
                <w:kern w:val="0"/>
                <w:szCs w:val="24"/>
                <w:lang w:val="ru-RU" w:bidi="ar-SA"/>
              </w:rPr>
              <w:t>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»</w:t>
            </w:r>
          </w:p>
        </w:tc>
      </w:tr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Мероприятия (результат) 1 «Проведение мероприятий по и</w:t>
            </w:r>
            <w:r>
              <w:rPr>
                <w:rFonts w:cs="Calibri" w:ascii="Times New Roman" w:hAnsi="Times New Roman"/>
                <w:kern w:val="0"/>
                <w:szCs w:val="24"/>
                <w:lang w:val="ru-RU" w:bidi="ar-SA"/>
              </w:rPr>
              <w:t>мущественной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поддержке субъектов малого и среднего предпринимательства» 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Х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КУМИ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Договор аренды нежилых помещений.</w:t>
            </w:r>
          </w:p>
        </w:tc>
      </w:tr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Контрольная точка 1.1.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Не предусмотрена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/>
        <w:tc>
          <w:tcPr>
            <w:tcW w:w="14559" w:type="dxa"/>
            <w:gridSpan w:val="4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2.  «Консультационная поддержка субъектов малого и среднего предпринимательства»</w:t>
            </w:r>
          </w:p>
        </w:tc>
      </w:tr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Мероприятия (результат) «Проведение </w:t>
            </w:r>
            <w:r>
              <w:rPr>
                <w:rFonts w:eastAsia="Calibri" w:ascii="Times New Roman" w:hAnsi="Times New Roman"/>
                <w:bCs/>
                <w:kern w:val="0"/>
                <w:szCs w:val="24"/>
                <w:lang w:val="ru-RU" w:eastAsia="en-US" w:bidi="ar-SA"/>
              </w:rPr>
              <w:t>информационно-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консультационных мероприятий по поддержке субъектов малого и среднего предпринимательства»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Х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Управление;</w:t>
            </w:r>
          </w:p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bCs/>
                <w:kern w:val="0"/>
                <w:szCs w:val="24"/>
                <w:lang w:val="ru-RU" w:eastAsia="en-US" w:bidi="ar-SA"/>
              </w:rPr>
              <w:t>Центр поддержки предпринимательства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Контрольная точка 1.1.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Не предусмотрена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</w:tbl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default" r:id="rId15"/>
      <w:headerReference w:type="first" r:id="rId16"/>
      <w:type w:val="nextPage"/>
      <w:pgSz w:orient="landscape" w:w="16838" w:h="11906"/>
      <w:pgMar w:left="1134" w:right="1134" w:gutter="0" w:header="708" w:top="1418" w:footer="0" w:bottom="84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Journal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22609173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3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22609173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40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133e"/>
    <w:pPr>
      <w:widowControl/>
      <w:bidi w:val="0"/>
      <w:spacing w:before="0" w:after="20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ec3852"/>
    <w:pPr>
      <w:keepNext w:val="true"/>
      <w:overflowPunct w:val="true"/>
      <w:spacing w:before="240" w:after="36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ed1b5a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c2ba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7c2ba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306b8"/>
    <w:pPr>
      <w:keepNext w:val="true"/>
      <w:keepLines/>
      <w:spacing w:before="200" w:after="20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c3852"/>
    <w:rPr>
      <w:rFonts w:ascii="Times New Roman" w:hAnsi="Times New Roman" w:eastAsia="Times New Roman" w:cs="Times New Roman"/>
      <w:spacing w:val="104"/>
      <w:sz w:val="32"/>
      <w:szCs w:val="20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qFormat/>
    <w:rsid w:val="00ec385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4f470b"/>
    <w:rPr>
      <w:color w:themeColor="hyperlink" w:val="0000FF"/>
      <w:u w:val="single"/>
    </w:rPr>
  </w:style>
  <w:style w:type="character" w:styleId="3" w:customStyle="1">
    <w:name w:val="Заголовок 3 Знак"/>
    <w:basedOn w:val="DefaultParagraphFont"/>
    <w:semiHidden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4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PageNumber">
    <w:name w:val="page number"/>
    <w:basedOn w:val="DefaultParagraphFont"/>
    <w:rsid w:val="007c2ba9"/>
    <w:rPr/>
  </w:style>
  <w:style w:type="character" w:styleId="Style11" w:customStyle="1">
    <w:name w:val="Ниж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Style12" w:customStyle="1">
    <w:name w:val="Основной текст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7c2ba9"/>
    <w:rPr>
      <w:rFonts w:ascii="Times New Roman" w:hAnsi="Times New Roman" w:eastAsia="Times New Roman" w:cs="Times New Roman"/>
      <w:spacing w:val="-2"/>
      <w:sz w:val="24"/>
      <w:szCs w:val="20"/>
      <w:lang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FontStyle12" w:customStyle="1">
    <w:name w:val="Font Style12"/>
    <w:basedOn w:val="DefaultParagraphFont"/>
    <w:qFormat/>
    <w:rsid w:val="007c2ba9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7c2ba9"/>
    <w:rPr>
      <w:rFonts w:ascii="Times New Roman" w:hAnsi="Times New Roman" w:cs="Times New Roman"/>
      <w:b/>
      <w:b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b5684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5b5684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5b5684"/>
    <w:rPr>
      <w:rFonts w:ascii="Journal" w:hAnsi="Journal" w:eastAsia="Times New Roman" w:cs="Times New Roman"/>
      <w:b/>
      <w:bCs/>
      <w:sz w:val="20"/>
      <w:szCs w:val="20"/>
      <w:lang w:eastAsia="ru-RU"/>
    </w:rPr>
  </w:style>
  <w:style w:type="character" w:styleId="Style16" w:customStyle="1">
    <w:name w:val="Текст концевой сноски Знак"/>
    <w:basedOn w:val="DefaultParagraphFont"/>
    <w:uiPriority w:val="99"/>
    <w:semiHidden/>
    <w:qFormat/>
    <w:rsid w:val="00093d44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7">
    <w:name w:val="Символ концевой сноски"/>
    <w:basedOn w:val="DefaultParagraphFont"/>
    <w:uiPriority w:val="99"/>
    <w:semiHidden/>
    <w:unhideWhenUsed/>
    <w:qFormat/>
    <w:rsid w:val="00093d4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9" w:customStyle="1">
    <w:name w:val="Основной текст + 9"/>
    <w:basedOn w:val="Style12"/>
    <w:qFormat/>
    <w:rsid w:val="002d23f1"/>
    <w:rPr>
      <w:rFonts w:ascii="Arial" w:hAnsi="Arial" w:eastAsia="Times New Roman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character" w:styleId="21" w:customStyle="1">
    <w:name w:val="Заголовок 2 Знак"/>
    <w:basedOn w:val="DefaultParagraphFont"/>
    <w:uiPriority w:val="9"/>
    <w:qFormat/>
    <w:rsid w:val="00ed1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306b8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4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6f107b"/>
    <w:rPr>
      <w:color w:val="800080"/>
      <w:u w:val="single"/>
    </w:rPr>
  </w:style>
  <w:style w:type="character" w:styleId="Style18" w:customStyle="1">
    <w:name w:val="Текст сноски Знак"/>
    <w:basedOn w:val="DefaultParagraphFont"/>
    <w:uiPriority w:val="99"/>
    <w:qFormat/>
    <w:rsid w:val="00855a6c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9">
    <w:name w:val="Символ сноски"/>
    <w:basedOn w:val="DefaultParagraphFont"/>
    <w:uiPriority w:val="99"/>
    <w:unhideWhenUsed/>
    <w:qFormat/>
    <w:rsid w:val="00855a6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0" w:customStyle="1">
    <w:name w:val="Абзац списка Знак"/>
    <w:link w:val="ListParagraph"/>
    <w:uiPriority w:val="34"/>
    <w:qFormat/>
    <w:locked/>
    <w:rsid w:val="006c7b61"/>
    <w:rPr>
      <w:rFonts w:ascii="Calibri" w:hAnsi="Calibri" w:eastAsia="Calibri" w:cs="Times New Roman"/>
    </w:rPr>
  </w:style>
  <w:style w:type="character" w:styleId="ConsPlusNormal" w:customStyle="1">
    <w:name w:val="ConsPlusNormal Знак"/>
    <w:link w:val="ConsPlusNormal1"/>
    <w:qFormat/>
    <w:locked/>
    <w:rsid w:val="00b42ec5"/>
    <w:rPr>
      <w:rFonts w:ascii="Calibri" w:hAnsi="Calibri" w:eastAsia="Times New Roman" w:cs="Calibri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534acc"/>
    <w:rPr>
      <w:b/>
      <w:bCs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rsid w:val="007c2ba9"/>
    <w:pPr/>
    <w:rPr>
      <w:rFonts w:ascii="Times New Roman" w:hAnsi="Times New Roma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Title" w:customStyle="1">
    <w:name w:val="ConsPlusTitle"/>
    <w:qFormat/>
    <w:rsid w:val="000f4c0f"/>
    <w:pPr>
      <w:widowControl w:val="false"/>
      <w:bidi w:val="0"/>
      <w:spacing w:before="0" w:after="0"/>
      <w:jc w:val="both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1" w:customStyle="1">
    <w:name w:val="ConsPlusNormal"/>
    <w:link w:val="ConsPlusNormal"/>
    <w:qFormat/>
    <w:rsid w:val="000f4c0f"/>
    <w:pPr>
      <w:widowControl w:val="false"/>
      <w:bidi w:val="0"/>
      <w:spacing w:before="0" w:after="0"/>
      <w:jc w:val="both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0f4c0f"/>
    <w:pPr>
      <w:widowControl w:val="false"/>
      <w:bidi w:val="0"/>
      <w:spacing w:before="0" w:after="0"/>
      <w:jc w:val="both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link w:val="Style20"/>
    <w:uiPriority w:val="34"/>
    <w:qFormat/>
    <w:rsid w:val="00ec3852"/>
    <w:pPr>
      <w:spacing w:lineRule="auto" w:line="276" w:before="0" w:after="200"/>
      <w:ind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9"/>
    <w:uiPriority w:val="99"/>
    <w:unhideWhenUsed/>
    <w:qFormat/>
    <w:rsid w:val="00ec3852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c2ba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1" w:customStyle="1">
    <w:name w:val="Стиль1"/>
    <w:basedOn w:val="Normal"/>
    <w:qFormat/>
    <w:rsid w:val="007c2ba9"/>
    <w:pPr>
      <w:spacing w:before="240" w:after="200"/>
      <w:jc w:val="center"/>
    </w:pPr>
    <w:rPr>
      <w:rFonts w:ascii="Baltica" w:hAnsi="Baltica"/>
      <w:caps/>
    </w:rPr>
  </w:style>
  <w:style w:type="paragraph" w:styleId="12" w:customStyle="1">
    <w:name w:val="Знак Знак1 Знак Знак Знак Знак Знак Знак 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Footer">
    <w:name w:val="footer"/>
    <w:basedOn w:val="Normal"/>
    <w:link w:val="Style11"/>
    <w:uiPriority w:val="99"/>
    <w:rsid w:val="007c2ba9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3"/>
    <w:rsid w:val="007c2ba9"/>
    <w:pPr/>
    <w:rPr>
      <w:rFonts w:ascii="Times New Roman" w:hAnsi="Times New Roman"/>
    </w:rPr>
  </w:style>
  <w:style w:type="paragraph" w:styleId="BodyTextIndent2">
    <w:name w:val="Body Text Indent 2"/>
    <w:basedOn w:val="Normal"/>
    <w:link w:val="2"/>
    <w:qFormat/>
    <w:rsid w:val="007c2ba9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7c2ba9"/>
    <w:pPr>
      <w:spacing w:before="80" w:after="200"/>
      <w:ind w:firstLine="437" w:left="283"/>
    </w:pPr>
    <w:rPr>
      <w:rFonts w:ascii="Times New Roman" w:hAnsi="Times New Roman"/>
    </w:rPr>
  </w:style>
  <w:style w:type="paragraph" w:styleId="211" w:customStyle="1">
    <w:name w:val="Основной текст 21"/>
    <w:basedOn w:val="Normal"/>
    <w:qFormat/>
    <w:rsid w:val="007c2ba9"/>
    <w:pPr>
      <w:widowControl w:val="false"/>
      <w:overflowPunct w:val="true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uiPriority w:val="99"/>
    <w:qFormat/>
    <w:rsid w:val="007c2ba9"/>
    <w:pPr>
      <w:widowControl/>
      <w:bidi w:val="0"/>
      <w:snapToGrid w:val="false"/>
      <w:spacing w:before="0" w:after="0"/>
      <w:ind w:firstLine="720" w:right="19772"/>
      <w:jc w:val="both"/>
    </w:pPr>
    <w:rPr>
      <w:rFonts w:ascii="Arial" w:hAnsi="Arial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110" w:customStyle="1">
    <w:name w:val="Style1"/>
    <w:basedOn w:val="Normal"/>
    <w:qFormat/>
    <w:rsid w:val="007c2ba9"/>
    <w:pPr>
      <w:widowControl w:val="false"/>
      <w:jc w:val="center"/>
    </w:pPr>
    <w:rPr>
      <w:rFonts w:ascii="Times New Roman" w:hAnsi="Times New Roman"/>
      <w:szCs w:val="24"/>
    </w:rPr>
  </w:style>
  <w:style w:type="paragraph" w:styleId="Style23" w:customStyle="1">
    <w:name w:val="Style2"/>
    <w:basedOn w:val="Normal"/>
    <w:qFormat/>
    <w:rsid w:val="007c2ba9"/>
    <w:pPr>
      <w:widowControl w:val="false"/>
      <w:spacing w:lineRule="exact" w:line="23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7c2ba9"/>
    <w:pPr>
      <w:widowControl w:val="false"/>
      <w:spacing w:lineRule="exact" w:line="23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7c2ba9"/>
    <w:pPr>
      <w:widowControl w:val="false"/>
      <w:spacing w:lineRule="exact" w:line="231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7c2ba9"/>
    <w:pPr>
      <w:widowControl w:val="false"/>
      <w:spacing w:lineRule="exact" w:line="233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7c2ba9"/>
    <w:pPr>
      <w:widowControl w:val="false"/>
      <w:spacing w:lineRule="exact" w:line="23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7c2ba9"/>
    <w:pPr>
      <w:spacing w:before="0" w:after="216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7c2ba9"/>
    <w:pPr>
      <w:spacing w:before="0" w:after="216"/>
      <w:ind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7c2ba9"/>
    <w:pPr>
      <w:spacing w:before="0" w:after="216"/>
      <w:jc w:val="center"/>
    </w:pPr>
    <w:rPr>
      <w:rFonts w:ascii="Times New Roman" w:hAnsi="Times New Roman"/>
      <w:szCs w:val="24"/>
    </w:rPr>
  </w:style>
  <w:style w:type="paragraph" w:styleId="Style24" w:customStyle="1">
    <w:name w:val="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Cell" w:customStyle="1">
    <w:name w:val="ConsPlusCell"/>
    <w:uiPriority w:val="99"/>
    <w:qFormat/>
    <w:rsid w:val="007c2ba9"/>
    <w:pPr>
      <w:widowControl w:val="fals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5b5684"/>
    <w:pPr/>
    <w:rPr>
      <w:sz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5b5684"/>
    <w:pPr/>
    <w:rPr>
      <w:b/>
      <w:bCs/>
    </w:rPr>
  </w:style>
  <w:style w:type="paragraph" w:styleId="EndnoteText">
    <w:name w:val="endnote text"/>
    <w:basedOn w:val="Normal"/>
    <w:link w:val="Style16"/>
    <w:uiPriority w:val="99"/>
    <w:semiHidden/>
    <w:unhideWhenUsed/>
    <w:rsid w:val="00093d44"/>
    <w:pPr/>
    <w:rPr>
      <w:sz w:val="20"/>
    </w:rPr>
  </w:style>
  <w:style w:type="paragraph" w:styleId="Default" w:customStyle="1">
    <w:name w:val="Default"/>
    <w:qFormat/>
    <w:rsid w:val="00cd6889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13" w:customStyle="1">
    <w:name w:val="Обычный1"/>
    <w:qFormat/>
    <w:rsid w:val="00cd6889"/>
    <w:pPr>
      <w:widowControl/>
      <w:pBdr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rsid w:val="00b84776"/>
    <w:pPr>
      <w:widowControl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font5" w:customStyle="1">
    <w:name w:val="font5"/>
    <w:basedOn w:val="Normal"/>
    <w:qFormat/>
    <w:rsid w:val="006f107b"/>
    <w:pPr>
      <w:spacing w:beforeAutospacing="1" w:afterAutospacing="1"/>
      <w:jc w:val="left"/>
    </w:pPr>
    <w:rPr>
      <w:rFonts w:ascii="Times New Roman" w:hAnsi="Times New Roman"/>
      <w:sz w:val="22"/>
      <w:szCs w:val="22"/>
    </w:rPr>
  </w:style>
  <w:style w:type="paragraph" w:styleId="font6" w:customStyle="1">
    <w:name w:val="font6"/>
    <w:basedOn w:val="Normal"/>
    <w:qFormat/>
    <w:rsid w:val="006f107b"/>
    <w:pPr>
      <w:spacing w:beforeAutospacing="1" w:afterAutospacing="1"/>
      <w:jc w:val="left"/>
    </w:pPr>
    <w:rPr>
      <w:rFonts w:ascii="Times New Roman" w:hAnsi="Times New Roman"/>
      <w:b/>
      <w:bCs/>
      <w:sz w:val="22"/>
      <w:szCs w:val="22"/>
    </w:rPr>
  </w:style>
  <w:style w:type="paragraph" w:styleId="xl65" w:customStyle="1">
    <w:name w:val="xl65"/>
    <w:basedOn w:val="Normal"/>
    <w:qFormat/>
    <w:rsid w:val="006f107b"/>
    <w:pPr>
      <w:spacing w:beforeAutospacing="1" w:afterAutospacing="1"/>
      <w:jc w:val="center"/>
    </w:pPr>
    <w:rPr>
      <w:rFonts w:ascii="Calibri" w:hAnsi="Calibri"/>
      <w:b/>
      <w:bCs/>
      <w:szCs w:val="24"/>
    </w:rPr>
  </w:style>
  <w:style w:type="paragraph" w:styleId="xl66" w:customStyle="1">
    <w:name w:val="xl6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67" w:customStyle="1">
    <w:name w:val="xl6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68" w:customStyle="1">
    <w:name w:val="xl68"/>
    <w:basedOn w:val="Normal"/>
    <w:qFormat/>
    <w:rsid w:val="006f107b"/>
    <w:pPr>
      <w:spacing w:beforeAutospacing="1" w:afterAutospacing="1"/>
      <w:jc w:val="left"/>
    </w:pPr>
    <w:rPr>
      <w:rFonts w:ascii="Calibri" w:hAnsi="Calibri"/>
      <w:b/>
      <w:bCs/>
      <w:szCs w:val="24"/>
    </w:rPr>
  </w:style>
  <w:style w:type="paragraph" w:styleId="xl69" w:customStyle="1">
    <w:name w:val="xl6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0" w:customStyle="1">
    <w:name w:val="xl7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71" w:customStyle="1">
    <w:name w:val="xl7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2" w:customStyle="1">
    <w:name w:val="xl72"/>
    <w:basedOn w:val="Normal"/>
    <w:qFormat/>
    <w:rsid w:val="006f107b"/>
    <w:pPr>
      <w:spacing w:beforeAutospacing="1" w:afterAutospacing="1"/>
      <w:jc w:val="left"/>
    </w:pPr>
    <w:rPr>
      <w:rFonts w:ascii="Calibri" w:hAnsi="Calibri"/>
      <w:szCs w:val="24"/>
    </w:rPr>
  </w:style>
  <w:style w:type="paragraph" w:styleId="xl73" w:customStyle="1">
    <w:name w:val="xl7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4" w:customStyle="1">
    <w:name w:val="xl7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5" w:customStyle="1">
    <w:name w:val="xl7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6" w:customStyle="1">
    <w:name w:val="xl76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7" w:customStyle="1">
    <w:name w:val="xl77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8" w:customStyle="1">
    <w:name w:val="xl7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9" w:customStyle="1">
    <w:name w:val="xl7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0" w:customStyle="1">
    <w:name w:val="xl80"/>
    <w:basedOn w:val="Normal"/>
    <w:qFormat/>
    <w:rsid w:val="006f107b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1" w:customStyle="1">
    <w:name w:val="xl81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2" w:customStyle="1">
    <w:name w:val="xl8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3" w:customStyle="1">
    <w:name w:val="xl8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4" w:customStyle="1">
    <w:name w:val="xl84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85" w:customStyle="1">
    <w:name w:val="xl85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6" w:customStyle="1">
    <w:name w:val="xl8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87" w:customStyle="1">
    <w:name w:val="xl87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8" w:customStyle="1">
    <w:name w:val="xl8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9" w:customStyle="1">
    <w:name w:val="xl89"/>
    <w:basedOn w:val="Normal"/>
    <w:qFormat/>
    <w:rsid w:val="006f107b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90" w:customStyle="1">
    <w:name w:val="xl90"/>
    <w:basedOn w:val="Normal"/>
    <w:qFormat/>
    <w:rsid w:val="006f107b"/>
    <w:pP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91" w:customStyle="1">
    <w:name w:val="xl9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92" w:customStyle="1">
    <w:name w:val="xl92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93" w:customStyle="1">
    <w:name w:val="xl93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94" w:customStyle="1">
    <w:name w:val="xl94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95" w:customStyle="1">
    <w:name w:val="xl9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i/>
      <w:iCs/>
      <w:szCs w:val="24"/>
    </w:rPr>
  </w:style>
  <w:style w:type="paragraph" w:styleId="xl96" w:customStyle="1">
    <w:name w:val="xl96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i/>
      <w:iCs/>
      <w:szCs w:val="24"/>
    </w:rPr>
  </w:style>
  <w:style w:type="paragraph" w:styleId="xl97" w:customStyle="1">
    <w:name w:val="xl9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98" w:customStyle="1">
    <w:name w:val="xl98"/>
    <w:basedOn w:val="Normal"/>
    <w:qFormat/>
    <w:rsid w:val="006f107b"/>
    <w:pPr>
      <w:spacing w:beforeAutospacing="1" w:afterAutospacing="1"/>
      <w:jc w:val="center"/>
    </w:pPr>
    <w:rPr>
      <w:rFonts w:ascii="Calibri" w:hAnsi="Calibri"/>
      <w:szCs w:val="24"/>
    </w:rPr>
  </w:style>
  <w:style w:type="paragraph" w:styleId="xl99" w:customStyle="1">
    <w:name w:val="xl99"/>
    <w:basedOn w:val="Normal"/>
    <w:qFormat/>
    <w:rsid w:val="006f107b"/>
    <w:pP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00" w:customStyle="1">
    <w:name w:val="xl10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101" w:customStyle="1">
    <w:name w:val="xl10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2" w:customStyle="1">
    <w:name w:val="xl102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3" w:customStyle="1">
    <w:name w:val="xl103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4" w:customStyle="1">
    <w:name w:val="xl104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5" w:customStyle="1">
    <w:name w:val="xl105"/>
    <w:basedOn w:val="Normal"/>
    <w:qFormat/>
    <w:rsid w:val="006f107b"/>
    <w:pPr>
      <w:pBdr>
        <w:top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6" w:customStyle="1">
    <w:name w:val="xl10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7" w:customStyle="1">
    <w:name w:val="xl107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8" w:customStyle="1">
    <w:name w:val="xl10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9" w:customStyle="1">
    <w:name w:val="xl109"/>
    <w:basedOn w:val="Normal"/>
    <w:qFormat/>
    <w:rsid w:val="006f107b"/>
    <w:pPr>
      <w:shd w:val="clear" w:color="000000" w:fill="FFFFFF"/>
      <w:spacing w:beforeAutospacing="1" w:afterAutospacing="1"/>
      <w:jc w:val="left"/>
    </w:pPr>
    <w:rPr>
      <w:rFonts w:ascii="Calibri" w:hAnsi="Calibri"/>
      <w:szCs w:val="24"/>
    </w:rPr>
  </w:style>
  <w:style w:type="paragraph" w:styleId="xl110" w:customStyle="1">
    <w:name w:val="xl110"/>
    <w:basedOn w:val="Normal"/>
    <w:qFormat/>
    <w:rsid w:val="006f107b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11" w:customStyle="1">
    <w:name w:val="xl11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12" w:customStyle="1">
    <w:name w:val="xl112"/>
    <w:basedOn w:val="Normal"/>
    <w:qFormat/>
    <w:rsid w:val="006f107b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13" w:customStyle="1">
    <w:name w:val="xl11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14" w:customStyle="1">
    <w:name w:val="xl11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15" w:customStyle="1">
    <w:name w:val="xl115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16" w:customStyle="1">
    <w:name w:val="xl116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17" w:customStyle="1">
    <w:name w:val="xl11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18" w:customStyle="1">
    <w:name w:val="xl118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19" w:customStyle="1">
    <w:name w:val="xl11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20" w:customStyle="1">
    <w:name w:val="xl120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1" w:customStyle="1">
    <w:name w:val="xl121"/>
    <w:basedOn w:val="Normal"/>
    <w:qFormat/>
    <w:rsid w:val="006f107b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2" w:customStyle="1">
    <w:name w:val="xl12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23" w:customStyle="1">
    <w:name w:val="xl123"/>
    <w:basedOn w:val="Normal"/>
    <w:qFormat/>
    <w:rsid w:val="006f107b"/>
    <w:pPr>
      <w:pBdr>
        <w:lef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24" w:customStyle="1">
    <w:name w:val="xl124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5" w:customStyle="1">
    <w:name w:val="xl125"/>
    <w:basedOn w:val="Normal"/>
    <w:qFormat/>
    <w:rsid w:val="006f107b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6" w:customStyle="1">
    <w:name w:val="xl126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27" w:customStyle="1">
    <w:name w:val="xl12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28" w:customStyle="1">
    <w:name w:val="xl128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29" w:customStyle="1">
    <w:name w:val="xl12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0" w:customStyle="1">
    <w:name w:val="xl130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1" w:customStyle="1">
    <w:name w:val="xl13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2" w:customStyle="1">
    <w:name w:val="xl132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3" w:customStyle="1">
    <w:name w:val="xl133"/>
    <w:basedOn w:val="Normal"/>
    <w:qFormat/>
    <w:rsid w:val="006f107b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4" w:customStyle="1">
    <w:name w:val="xl134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5" w:customStyle="1">
    <w:name w:val="xl135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6" w:customStyle="1">
    <w:name w:val="xl13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37" w:customStyle="1">
    <w:name w:val="xl137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8" w:customStyle="1">
    <w:name w:val="xl13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9" w:customStyle="1">
    <w:name w:val="xl139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40" w:customStyle="1">
    <w:name w:val="xl140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41" w:customStyle="1">
    <w:name w:val="xl14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42" w:customStyle="1">
    <w:name w:val="xl142"/>
    <w:basedOn w:val="Normal"/>
    <w:qFormat/>
    <w:rsid w:val="006f107b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FootnoteText">
    <w:name w:val="footnote text"/>
    <w:basedOn w:val="Normal"/>
    <w:link w:val="Style18"/>
    <w:uiPriority w:val="99"/>
    <w:unhideWhenUsed/>
    <w:rsid w:val="00855a6c"/>
    <w:pPr/>
    <w:rPr>
      <w:sz w:val="20"/>
    </w:rPr>
  </w:style>
  <w:style w:type="paragraph" w:styleId="xl63" w:customStyle="1">
    <w:name w:val="xl63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64" w:customStyle="1">
    <w:name w:val="xl64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22" w:customStyle="1">
    <w:name w:val="Обычный2"/>
    <w:qFormat/>
    <w:rsid w:val="00541b66"/>
    <w:pPr>
      <w:widowControl/>
      <w:bidi w:val="0"/>
      <w:spacing w:before="0" w:after="0"/>
      <w:jc w:val="both"/>
    </w:pPr>
    <w:rPr>
      <w:rFonts w:ascii="Arial" w:hAnsi="Arial" w:eastAsia="Arial" w:cs="Arial"/>
      <w:color w:val="auto"/>
      <w:kern w:val="0"/>
      <w:sz w:val="22"/>
      <w:szCs w:val="22"/>
      <w:lang w:eastAsia="ru-RU" w:val="ru-RU" w:bidi="ar-SA"/>
    </w:rPr>
  </w:style>
  <w:style w:type="numbering" w:styleId="Style25" w:default="1">
    <w:name w:val="Без списка"/>
    <w:uiPriority w:val="99"/>
    <w:semiHidden/>
    <w:unhideWhenUsed/>
    <w:qFormat/>
  </w:style>
  <w:style w:type="numbering" w:styleId="14" w:customStyle="1">
    <w:name w:val="Нет списка1"/>
    <w:uiPriority w:val="99"/>
    <w:semiHidden/>
    <w:unhideWhenUsed/>
    <w:qFormat/>
    <w:rsid w:val="007c2ba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7c2ba9"/>
    <w:pPr>
      <w:spacing w:before="120" w:after="0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"/>
    <w:basedOn w:val="a1"/>
    <w:uiPriority w:val="59"/>
    <w:rsid w:val="007c2ba9"/>
    <w:pPr>
      <w:spacing w:after="0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Сетка таблицы2"/>
    <w:basedOn w:val="a1"/>
    <w:uiPriority w:val="59"/>
    <w:rsid w:val="00ac383b"/>
    <w:pPr>
      <w:spacing w:after="0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5B33E7538238026297BA112359CB8EB7997E6E2B2A55688B2519B88685C19C74D9279072F8F6856757EB7F4F0092A59S7vDD" TargetMode="External"/><Relationship Id="rId4" Type="http://schemas.openxmlformats.org/officeDocument/2006/relationships/hyperlink" Target="consultantplus://offline/ref=65B33E7538238026297BA112359CB8EB7997E6E2B2A55982B5519B88685C19C74D9279152FD764547464BFF4E55F7B1C214F46CB59D8E1E5666DBCSAv0D" TargetMode="External"/><Relationship Id="rId5" Type="http://schemas.openxmlformats.org/officeDocument/2006/relationships/hyperlink" Target="consultantplus://offline/ref=BCC80955539B4B33302EB92681132FCA6F925BE30529365A75B40B7A17228470D1F010138F3FE7873066K" TargetMode="External"/><Relationship Id="rId6" Type="http://schemas.openxmlformats.org/officeDocument/2006/relationships/hyperlink" Target="consultantplus://offline/ref=9B0D2DA33562783D1EBFDFBA55FEE80DF0E5CF1C4994F550831FF9DA58AA5D6F7A7304224237D77EC8023710C1I7zCE" TargetMode="External"/><Relationship Id="rId7" Type="http://schemas.openxmlformats.org/officeDocument/2006/relationships/hyperlink" Target="consultantplus://offline/ref=9B0D2DA33562783D1EBFDFBA55FEE80DF0E5CF1C4994F550831FF9DA58AA5D6F7A7304224237D77EC8023710C1I7zCE" TargetMode="External"/><Relationship Id="rId8" Type="http://schemas.openxmlformats.org/officeDocument/2006/relationships/hyperlink" Target="consultantplus://offline/ref=9B0D2DA33562783D1EBFDFBA55FEE80DF0E5CF1C4994F550831FF9DA58AA5D6F7A7304224237D77EC8023710C1I7zCE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hyperlink" Target="https://login.consultant.ru/link/?req=doc&amp;base=LAW&amp;n=441135" TargetMode="External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37762-8E56-4443-BFC1-2EDC509A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LibreOffice/25.2.3.2$Linux_X86_64 LibreOffice_project/520$Build-2</Application>
  <AppVersion>15.0000</AppVersion>
  <Pages>40</Pages>
  <Words>5747</Words>
  <Characters>42054</Characters>
  <CharactersWithSpaces>46413</CharactersWithSpaces>
  <Paragraphs>1518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2025-11-19T04:20:00Z</dcterms:created>
  <dc:creator>TORG</dc:creator>
  <dc:description/>
  <dc:language>ru-RU</dc:language>
  <cp:lastModifiedBy/>
  <cp:lastPrinted>2025-11-11T06:56:00Z</cp:lastPrinted>
  <dcterms:modified xsi:type="dcterms:W3CDTF">2025-12-26T14:53:44Z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